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Asit-Baz Teorilerinin Karşılaştırılması</w:t>
      </w:r>
    </w:p>
    <w:p>
      <w:pPr>
        <w:jc w:val="both"/>
        <w:rPr>
          <w:rFonts w:ascii="Times New Roman" w:hAnsi="Times New Roman" w:cs="Times New Roman"/>
          <w:lang w:val="tr-TR"/>
        </w:rPr>
      </w:pPr>
      <w:r>
        <w:rPr>
          <w:rFonts w:ascii="Times New Roman" w:hAnsi="Times New Roman" w:cs="Times New Roman"/>
          <w:lang w:val="tr-TR"/>
        </w:rPr>
        <w:t xml:space="preserve">İlk çağlardan beri insanlar ekşi tada sahip maddeleri “asit”, kayganlık hissi veren ve acı tada sahip maddeleri ise “baz” olarak tanımlamıştır (Görsel A). Ancak tat ve dokunma ile yapılan bu tanımlar hem güvenli değildir hem de maddelerin neden bu özellikleri gösterdiğini açıklayamaz. İsveçli bilim insanı Svante Arrhenius 1884 yılında asit ve bazları sudaki davranışlarına göre tanımlamıştır. Daha sonra Johannes Brønsted ve Thomas Lowry 1923 yılında birbirlerinden bağımsız olarak daha kapsamlı bir tanım önermiştir. Amonyak (NH</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bulundurmadığı hâlde neden baz özelliği gösterir? Hidrojen klorür gazı ile amonyak gazı su olmayan bir ortamda tepkimeye girdiğinde (Görsel B) gerçekleşen olay bir asit-baz tepkimesi midir? Bir etkinlik yaparak asit ve baz teorilerini karşılaştırınız. Analiz ve Keşif Atölyesi 2.7.’de tepkime denklemlerini ve alt mikro gösterimleri inceleyerek iki teorinin varsayımlarını belirleyecek, ardından bu teorilerin ortak ve ayrışan yönlerini listeleyerek karşılaştırma becerinizi kullanacaksınız. Bir tanımın hangi olayları açıklayıp hangilerinde yetersiz kaldığını sorgularken araştırmacı ve meraklı bir bakış açısı kazanacak, çalışkanlık değerinizi de desteklemiş olacaksınız.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1824"/>
                  <wp:docPr id="900008" name="Picture 900008"/>
                  <wp:cNvGraphicFramePr>
                    <a:graphicFrameLocks noChangeAspect="1"/>
                  </wp:cNvGraphicFramePr>
                  <a:graphic>
                    <a:graphicData uri="http://schemas.openxmlformats.org/drawingml/2006/picture">
                      <pic:pic>
                        <pic:nvPicPr>
                          <pic:cNvPr id="0" name="2475259167_d.jpg"/>
                          <pic:cNvPicPr/>
                        </pic:nvPicPr>
                        <pic:blipFill>
                          <a:blip r:embed="rId11"/>
                          <a:stretch>
                            <a:fillRect/>
                          </a:stretch>
                        </pic:blipFill>
                        <pic:spPr>
                          <a:xfrm>
                            <a:off x="0" y="0"/>
                            <a:ext cx="2664000" cy="1951824"/>
                          </a:xfrm>
                          <a:prstGeom prst="rect"/>
                        </pic:spPr>
                      </pic:pic>
                    </a:graphicData>
                  </a:graphic>
                </wp:inline>
              </w:drawing>
            </w:r>
          </w:p>
          <w:p>
            <w:pPr>
              <w:jc w:val="center"/>
            </w:pPr>
            <w:r>
              <w:rPr>
                <w:rFonts w:ascii="Times New Roman" w:hAnsi="Times New Roman" w:cs="Times New Roman"/>
                <w:b/>
                <w:bCs/>
                <w:highlight w:val="yellow"/>
                <w:lang w:val="tr-TR"/>
              </w:rPr>
              <w:t xml:space="preserve">Shutter id: 2475259167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Ekşi tadıyla bilinen limon ve kaygan sabunlar</w:t>
            </w:r>
          </w:p>
        </w:tc>
        <w:tc>
          <w:tcPr>
            <w:tcW w:w="4500" w:type="dxa"/>
          </w:tcPr>
          <w:p>
            <w:pPr>
              <w:jc w:val="center"/>
            </w:pPr>
            <w:r>
              <w:drawing>
                <wp:inline xmlns:a="http://schemas.openxmlformats.org/drawingml/2006/main" xmlns:pic="http://schemas.openxmlformats.org/drawingml/2006/picture">
                  <wp:extent cx="2664000" cy="1752912"/>
                  <wp:docPr id="900009" name="Picture 900009"/>
                  <wp:cNvGraphicFramePr>
                    <a:graphicFrameLocks noChangeAspect="1"/>
                  </wp:cNvGraphicFramePr>
                  <a:graphic>
                    <a:graphicData uri="http://schemas.openxmlformats.org/drawingml/2006/picture">
                      <pic:pic>
                        <pic:nvPicPr>
                          <pic:cNvPr id="0" name="785009308_d.jpg"/>
                          <pic:cNvPicPr/>
                        </pic:nvPicPr>
                        <pic:blipFill>
                          <a:blip r:embed="rId12"/>
                          <a:stretch>
                            <a:fillRect/>
                          </a:stretch>
                        </pic:blipFill>
                        <pic:spPr>
                          <a:xfrm>
                            <a:off x="0" y="0"/>
                            <a:ext cx="2664000" cy="1752912"/>
                          </a:xfrm>
                          <a:prstGeom prst="rect"/>
                        </pic:spPr>
                      </pic:pic>
                    </a:graphicData>
                  </a:graphic>
                </wp:inline>
              </w:drawing>
            </w:r>
          </w:p>
          <w:p>
            <w:pPr>
              <w:jc w:val="center"/>
            </w:pPr>
            <w:r>
              <w:rPr>
                <w:rFonts w:ascii="Times New Roman" w:hAnsi="Times New Roman" w:cs="Times New Roman"/>
                <w:b/>
                <w:bCs/>
                <w:highlight w:val="yellow"/>
                <w:lang w:val="tr-TR"/>
              </w:rPr>
              <w:t xml:space="preserve">Shutter id: 785009308</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Amonyak ve hidrojen klorür gazlarının tepkimesi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Aşağıda bazı maddelerin suda çözünmesine ve asit-baz tepkimelerine ait sembolik gösterimler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800"/>
        <w:gridCol w:w="8200"/>
      </w:tblGrid>
      <w:tr>
        <w:tc>
          <w:tcPr>
            <w:tcW w:w="800" w:type="dxa"/>
            <w:shd w:val="clear" w:color="auto" w:fill="D9E2F3"/>
            <w:vAlign w:val="center"/>
          </w:tcPr>
          <w:p>
            <w:pPr>
              <w:jc w:val="left"/>
              <w:rPr>
                <w:rFonts w:ascii="Times New Roman" w:hAnsi="Times New Roman" w:cs="Times New Roman"/>
                <w:b/>
                <w:bCs/>
                <w:lang w:val="tr-TR"/>
              </w:rPr>
            </w:pPr>
          </w:p>
        </w:tc>
        <w:tc>
          <w:tcPr>
            <w:tcW w:w="8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 denklemi</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NaOH(k) → 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(suda çözünme)</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622516"/>
            <wp:docPr id="900001" name="Grafik 900001" descr="Proton aktarımı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262251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I ve III numaralı tepkimelerin alt mikro gösterimi (Cl: yeşil, N: mavi, O: kırmızı, H: beyaz)</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görsel tarafımızca çizilmeli; Shutterstock’ta benzer “Brønsted-Lowry” illüstrasyonları aranabilir.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Arrhenius’a göre asit,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baz ise suda çözündüğünde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maddedir. Tablodaki tepkimelerden hangilerini Arrhenius tanımıyla açıklayabilirsiniz?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Brønsted-Lowry’ye göre asit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baz proton alan maddedir. Her tepkimede proton veren ve proton alan türleri belirleyiniz. I ve III numaralı tepkimeler için yukarıdaki alt mikro gösterimde protonun hangi tanecikten hangisine geçtiğini izleyerek sembolik denklemle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 ile Brønsted-Lowry teorilerinin asit ve bazı tanımlarken dayandığı varsayımları belirleyiniz. Bu varsayımlar hangi tepkimeleri açıklamakta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Belirlediğiniz özelliklerden yararlanarak iki teorinin benzer ve farklı yönlerini aşağıdaki Venn diyagramına yazınız. Benzerlikleri iki dairenin kesişim alanında, farklılıkları ise her teorinin kendi alanında madde madde listeleyiniz.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Kesişen iki büyük boş daire: sol daire “Arrhenius”, sağ daire “Brønsted-Lowry”, kesişim “Ortak özellikler” başlıklı; öğrencinin yazacağı kadar geniş.</w:t>
            </w:r>
          </w:p>
          <w:p>
            <w:pPr>
              <w:jc w:val="both"/>
              <w:rPr>
                <w:rFonts w:ascii="Times New Roman" w:hAnsi="Times New Roman" w:cs="Times New Roman"/>
                <w:lang w:val="tr-TR"/>
              </w:rPr>
            </w:pPr>
            <w:r>
              <w:rPr>
                <w:rFonts w:ascii="Times New Roman" w:hAnsi="Times New Roman" w:cs="Times New Roman"/>
                <w:lang w:val="tr-TR"/>
              </w:rPr>
              <w:t xml:space="preserve">Shutterstock arama: “—(vektörel çizim)”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Venn Diyagramı:</w:t>
      </w:r>
      <w:r>
        <w:rPr>
          <w:rFonts w:ascii="Times New Roman" w:hAnsi="Times New Roman" w:cs="Times New Roman"/>
          <w:lang w:val="tr-TR"/>
        </w:rPr>
        <w:t xml:space="preserve"> Arrhenius ve Brønsted-Lowry teorilerinin karşılaştırılması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III numaralı tepkimede su hangi role sahiptir? IV numaralı tepkimedeki rolüyle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VI numaralı tepkimeyi ve aşağıdaki deneysel verileri inceleyiniz: 25 °C’de saf suyun pH değeri, havadaki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ile etkileştiğinde yaklaşık 5,6’ya, 1 atm basınçta CO</w:t>
      </w:r>
      <w:r>
        <w:rPr>
          <w:rFonts w:ascii="Times New Roman" w:hAnsi="Times New Roman" w:cs="Times New Roman"/>
          <w:lang w:val="tr-TR"/>
          <w:vertAlign w:val="subscript"/>
        </w:rPr>
        <w:t xml:space="preserve">2</w:t>
      </w:r>
      <w:r>
        <w:rPr>
          <w:rFonts w:ascii="Times New Roman" w:hAnsi="Times New Roman" w:cs="Times New Roman"/>
          <w:lang w:val="tr-TR"/>
        </w:rPr>
        <w:t xml:space="preserve"> ile doyurulduğunda ise yaklaşık 3,9’a düşer. Kükürt yakılarak elde edilen SO</w:t>
      </w:r>
      <w:r>
        <w:rPr>
          <w:rFonts w:ascii="Times New Roman" w:hAnsi="Times New Roman" w:cs="Times New Roman"/>
          <w:lang w:val="tr-TR"/>
          <w:vertAlign w:val="subscript"/>
        </w:rPr>
        <w:t xml:space="preserve">2</w:t>
      </w:r>
      <w:r>
        <w:rPr>
          <w:rFonts w:ascii="Times New Roman" w:hAnsi="Times New Roman" w:cs="Times New Roman"/>
          <w:lang w:val="tr-TR"/>
        </w:rPr>
        <w:t xml:space="preserve"> gazı suya geçirildiğinde bu suya batırılan mavi turnusol kâğıdı kırmızıya döner. Yapısında hidrojen bulunmayan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ametal oksitlerin sulu çözeltilerinin neden asidik özellik gösterdiğini denklemlerden ve verilerden yararlanarak açıklayınız. Bu açıklamayı Arrhenius ve Brønsted-Lowry teorilerinden hangisiyle yapabildiğinizi belirtiniz. Merak ettiğiniz noktaları soru hâline getiriniz, farklı açıklamalara açık olunuz ve görüşünüzü güvenilir kaynaklardan yararlanarak sınayınız.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Etkinliğinizi karekodda yer alan “Venn Diyagramı Değerlendirme Formu” ile kendiniz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Venn Diyagramı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Venn Diyagramı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Arrhenius Asit-Baz Teorisi: Arrhenius teorisi asit ve bazları yalnızca sudaki davranışlarına göre tanımlar ve maddenin yapısında H ya da OH bulunmasını esas alır. Sulu çözeltide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tek başına bulunmaz; bir su molekülüne bağlanarak hidronyum iyonunu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oluşturur. Bu nedenle 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gösterimleri aynı anlamda kullanılır. Arrhenius teorisi HNO</w:t>
      </w:r>
      <w:r>
        <w:rPr>
          <w:rFonts w:ascii="Times New Roman" w:hAnsi="Times New Roman" w:cs="Times New Roman"/>
          <w:lang w:val="tr-TR"/>
          <w:vertAlign w:val="subscript"/>
        </w:rPr>
        <w:t xml:space="preserve">3</w:t>
      </w:r>
      <w:r>
        <w:rPr>
          <w:rFonts w:ascii="Times New Roman" w:hAnsi="Times New Roman" w:cs="Times New Roman"/>
          <w:lang w:val="tr-TR"/>
        </w:rPr>
        <w:t xml:space="preserve">, HBr, KOH,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maddelerin sudaki davranışlarını başarıyla açıklar. Ancak bu teori yalnızca sulu çözeltiler için geçerlidir.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bulunmayan NH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maddelerin bazlığını, yapısında hidrojen bulunmayan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oksitlerin asitliğini ve su bulunmayan ortamda gerçekleşen asit-baz tepkimelerini açıklayamaz.</w:t>
      </w:r>
    </w:p>
    <w:p>
      <w:pPr>
        <w:jc w:val="both"/>
        <w:rPr>
          <w:rFonts w:ascii="Times New Roman" w:hAnsi="Times New Roman" w:cs="Times New Roman"/>
          <w:lang w:val="tr-TR"/>
        </w:rPr>
      </w:pPr>
      <w:r>
        <w:rPr>
          <w:rFonts w:ascii="Times New Roman" w:hAnsi="Times New Roman" w:cs="Times New Roman"/>
          <w:lang w:val="tr-TR"/>
        </w:rPr>
        <w:t xml:space="preserve">Brønsted-Lowry Asit-Baz Teorisi: Brønsted-Lowry teorisi asit-baz tepkimesini asitten baza bir proton aktarımı olarak ele alır. Bu nedenle suyun bulunmasını gerektirmez; hem sulu çözeltilerde hem de susuz ortamlarda geçerlidir. Örneğin metil amin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bulundurmadığı hâlde suda bazik özellik gösterir: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Bu tepkimede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su molekülünden bir proton aldığı için Brønsted-Lowry bazı, su ise proton verdiği için Brønsted-Lowry asididir. Hidrojen siyanürün (HCN) suda iyonlaşmasında ise su, HCN’den proton alarak baz gibi davranır. Tepkimeye göre hem proton verebilen hem de proton alabilen bu tür maddelere amfoter (amfiprotik) maddeler denir. Su dışında 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gibi iyonlar da amfoter davranış gösterir.</w:t>
      </w:r>
    </w:p>
    <w:p>
      <w:pPr>
        <w:jc w:val="both"/>
        <w:rPr>
          <w:rFonts w:ascii="Times New Roman" w:hAnsi="Times New Roman" w:cs="Times New Roman"/>
          <w:lang w:val="tr-TR"/>
        </w:rPr>
      </w:pPr>
      <w:r>
        <w:rPr>
          <w:rFonts w:ascii="Times New Roman" w:hAnsi="Times New Roman" w:cs="Times New Roman"/>
          <w:lang w:val="tr-TR"/>
        </w:rPr>
        <w:t xml:space="preserve">Brønsted-Lowry tepkimeleri genellikle tersinirdir. Bir asit proton verdiğinde geriye kalan tür, geri tepkimede proton alabileceği için bir bazdır. Formülleri birbirinden yalnızca bir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kadar farklı olan böyle bir asit ile baza eşlenik (konjuge) asit-baz çifti adı verilir. Örneğin HNO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suda iyonlaşmasında ileri tepkimede HNO</w:t>
      </w:r>
      <w:r>
        <w:rPr>
          <w:rFonts w:ascii="Times New Roman" w:hAnsi="Times New Roman" w:cs="Times New Roman"/>
          <w:lang w:val="tr-TR"/>
          <w:vertAlign w:val="subscript"/>
        </w:rPr>
        <w:t xml:space="preserve">2</w:t>
      </w:r>
      <w:r>
        <w:rPr>
          <w:rFonts w:ascii="Times New Roman" w:hAnsi="Times New Roman" w:cs="Times New Roman"/>
          <w:lang w:val="tr-TR"/>
        </w:rPr>
        <w:t xml:space="preserve"> proton veren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O proton alan bazdır; geri tepkimede ise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 veren asit, NO</w:t>
      </w:r>
      <w:r>
        <w:rPr>
          <w:rFonts w:ascii="Times New Roman" w:hAnsi="Times New Roman" w:cs="Times New Roman"/>
          <w:lang w:val="tr-TR"/>
          <w:vertAlign w:val="subscript"/>
        </w:rPr>
        <w:t xml:space="preserve">2</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 alan bazdır:</w:t>
      </w:r>
    </w:p>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NO</w:t>
      </w:r>
      <w:r>
        <w:rPr>
          <w:rFonts w:ascii="Times New Roman" w:hAnsi="Times New Roman" w:cs="Times New Roman"/>
          <w:lang w:val="tr-TR"/>
          <w:vertAlign w:val="subscript"/>
        </w:rPr>
        <w:t xml:space="preserve">2</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asit 1            baz 2                 baz 1               asit 2</w:t>
      </w:r>
    </w:p>
    <w:p>
      <w:pPr>
        <w:jc w:val="both"/>
        <w:rPr>
          <w:rFonts w:ascii="Times New Roman" w:hAnsi="Times New Roman" w:cs="Times New Roman"/>
          <w:lang w:val="tr-TR"/>
        </w:rPr>
      </w:pPr>
      <w:r>
        <w:rPr>
          <w:rFonts w:ascii="Times New Roman" w:hAnsi="Times New Roman" w:cs="Times New Roman"/>
          <w:lang w:val="tr-TR"/>
        </w:rPr>
        <w:t xml:space="preserve">Bu tepkimede HNO</w:t>
      </w:r>
      <w:r>
        <w:rPr>
          <w:rFonts w:ascii="Times New Roman" w:hAnsi="Times New Roman" w:cs="Times New Roman"/>
          <w:lang w:val="tr-TR"/>
          <w:vertAlign w:val="subscript"/>
        </w:rPr>
        <w:t xml:space="preserve">2</w:t>
      </w:r>
      <w:r>
        <w:rPr>
          <w:rFonts w:ascii="Times New Roman" w:hAnsi="Times New Roman" w:cs="Times New Roman"/>
          <w:lang w:val="tr-TR"/>
        </w:rPr>
        <w:t xml:space="preserve">/NO</w:t>
      </w:r>
      <w:r>
        <w:rPr>
          <w:rFonts w:ascii="Times New Roman" w:hAnsi="Times New Roman" w:cs="Times New Roman"/>
          <w:lang w:val="tr-TR"/>
          <w:vertAlign w:val="subscript"/>
        </w:rPr>
        <w:t xml:space="preserve">2</w:t>
      </w:r>
      <w:r>
        <w:rPr>
          <w:rFonts w:ascii="Times New Roman" w:hAnsi="Times New Roman" w:cs="Times New Roman"/>
          <w:lang w:val="tr-TR"/>
          <w:vertAlign w:val="superscript"/>
        </w:rPr>
        <w:t xml:space="preserve">−</w:t>
      </w:r>
      <w:r>
        <w:rPr>
          <w:rFonts w:ascii="Times New Roman" w:hAnsi="Times New Roman" w:cs="Times New Roman"/>
          <w:lang w:val="tr-TR"/>
        </w:rPr>
        <w:t xml:space="preserve">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O eşlenik asit-baz çiftleridir.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Arrhenius ve Brønsted-Lowry tanımlarının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400"/>
        <w:gridCol w:w="34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Arrhenius</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Brønsted-Lowry</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alan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Ortam</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sulu çözeltiler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Sulu ve susuz ortamlar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’ün bazlığı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Açıklayamaz</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Eşlenik çift kavramı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Yok</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Var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yön</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asitler her iki teoriye göre de asittir.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Asit-baz tepkimeleri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üzerinden açıklanır.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Monofonksiyonel ve Polifonksiyonel Asit ve Bazlar: Bir asit molekülünün verebileceği proton sayısı, formülündeki hidrojen atomu sayısına her zaman eşit değildir. Bir molekülü suda yalnızca bir proton verebilen asitlere monofonksiyonel (tek protonlu) asitler denir (HCl,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gibi). Bir molekülü birden fazla proton verebilen asitler ise polifonksiyonel asitlerdir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 gibi). Polifonksiyonel asitler protonlarını basamak basamak verir. Bir formül birimi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veren (NaOH, KOH) ya da bir proton alabilen (NH</w:t>
      </w:r>
      <w:r>
        <w:rPr>
          <w:rFonts w:ascii="Times New Roman" w:hAnsi="Times New Roman" w:cs="Times New Roman"/>
          <w:lang w:val="tr-TR"/>
          <w:vertAlign w:val="subscript"/>
        </w:rPr>
        <w:t xml:space="preserve">3</w:t>
      </w:r>
      <w:r>
        <w:rPr>
          <w:rFonts w:ascii="Times New Roman" w:hAnsi="Times New Roman" w:cs="Times New Roman"/>
          <w:lang w:val="tr-TR"/>
        </w:rPr>
        <w:t xml:space="preserve">) bazlar monofonksiyonel; birden fazla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veren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birden fazla proton alabilen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bazlar ise polifonksiyonel bazlardır.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COOH’ta dört hidrojen atomu bulunmasına rağmen yalnızca karboksil grubundaki (−COOH) hidrojen proton olarak verilebildiği için asetik asit monofonksiyoneldir. Fosforik asit (H</w:t>
      </w:r>
      <w:r>
        <w:rPr>
          <w:rFonts w:ascii="Times New Roman" w:hAnsi="Times New Roman" w:cs="Times New Roman"/>
          <w:lang w:val="tr-TR"/>
          <w:vertAlign w:val="sub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 ise üç protonunu üç basamakta verir: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Ametal Oksitlerin Asidik Özelliği: Ametallerin oksijenle oluşturduğu bileşiklere ametal oksit denir. SO</w:t>
      </w:r>
      <w:r>
        <w:rPr>
          <w:rFonts w:ascii="Times New Roman" w:hAnsi="Times New Roman" w:cs="Times New Roman"/>
          <w:lang w:val="tr-TR"/>
          <w:vertAlign w:val="subscript"/>
        </w:rPr>
        <w:t xml:space="preserve">2</w:t>
      </w:r>
      <w:r>
        <w:rPr>
          <w:rFonts w:ascii="Times New Roman" w:hAnsi="Times New Roman" w:cs="Times New Roman"/>
          <w:lang w:val="tr-TR"/>
        </w:rPr>
        <w:t xml:space="preserve">, SO</w:t>
      </w:r>
      <w:r>
        <w:rPr>
          <w:rFonts w:ascii="Times New Roman" w:hAnsi="Times New Roman" w:cs="Times New Roman"/>
          <w:lang w:val="tr-TR"/>
          <w:vertAlign w:val="subscript"/>
        </w:rPr>
        <w:t xml:space="preserve">3</w:t>
      </w:r>
      <w:r>
        <w:rPr>
          <w:rFonts w:ascii="Times New Roman" w:hAnsi="Times New Roman" w:cs="Times New Roman"/>
          <w:lang w:val="tr-TR"/>
        </w:rPr>
        <w:t xml:space="preserv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CO</w:t>
      </w:r>
      <w:r>
        <w:rPr>
          <w:rFonts w:ascii="Times New Roman" w:hAnsi="Times New Roman" w:cs="Times New Roman"/>
          <w:lang w:val="tr-TR"/>
          <w:vertAlign w:val="subscript"/>
        </w:rPr>
        <w:t xml:space="preserve">2</w:t>
      </w:r>
      <w:r>
        <w:rPr>
          <w:rFonts w:ascii="Times New Roman" w:hAnsi="Times New Roman" w:cs="Times New Roman"/>
          <w:lang w:val="tr-TR"/>
        </w:rPr>
        <w:t xml:space="preserve">, P</w:t>
      </w:r>
      <w:r>
        <w:rPr>
          <w:rFonts w:ascii="Times New Roman" w:hAnsi="Times New Roman" w:cs="Times New Roman"/>
          <w:lang w:val="tr-TR"/>
          <w:vertAlign w:val="subscript"/>
        </w:rPr>
        <w:t xml:space="preserve">4</w:t>
      </w:r>
      <w:r>
        <w:rPr>
          <w:rFonts w:ascii="Times New Roman" w:hAnsi="Times New Roman" w:cs="Times New Roman"/>
          <w:lang w:val="tr-TR"/>
        </w:rPr>
        <w:t xml:space="preserve">O</w:t>
      </w:r>
      <w:r>
        <w:rPr>
          <w:rFonts w:ascii="Times New Roman" w:hAnsi="Times New Roman" w:cs="Times New Roman"/>
          <w:lang w:val="tr-TR"/>
          <w:vertAlign w:val="subscript"/>
        </w:rPr>
        <w:t xml:space="preserve">10</w:t>
      </w:r>
      <w:r>
        <w:rPr>
          <w:rFonts w:ascii="Times New Roman" w:hAnsi="Times New Roman" w:cs="Times New Roman"/>
          <w:lang w:val="tr-TR"/>
        </w:rPr>
        <w:t xml:space="preserve"> gibi ametal oksitler yapılarında hidrojen bulunmadığı hâlde suyla tepkimeye girerek asit oluşturur; oluşan asit de suda iyonlaşarak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verir. Bu nedenle bu oksitlere asidik oksitler denir. Örneğin SO</w:t>
      </w:r>
      <w:r>
        <w:rPr>
          <w:rFonts w:ascii="Times New Roman" w:hAnsi="Times New Roman" w:cs="Times New Roman"/>
          <w:lang w:val="tr-TR"/>
          <w:vertAlign w:val="subscript"/>
        </w:rPr>
        <w:t xml:space="preserve">3</w:t>
      </w:r>
      <w:r>
        <w:rPr>
          <w:rFonts w:ascii="Times New Roman" w:hAnsi="Times New Roman" w:cs="Times New Roman"/>
          <w:lang w:val="tr-TR"/>
        </w:rPr>
        <w:t xml:space="preserve"> suyla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ise HNO</w:t>
      </w:r>
      <w:r>
        <w:rPr>
          <w:rFonts w:ascii="Times New Roman" w:hAnsi="Times New Roman" w:cs="Times New Roman"/>
          <w:lang w:val="tr-TR"/>
          <w:vertAlign w:val="subscript"/>
        </w:rPr>
        <w:t xml:space="preserve">3</w:t>
      </w:r>
      <w:r>
        <w:rPr>
          <w:rFonts w:ascii="Times New Roman" w:hAnsi="Times New Roman" w:cs="Times New Roman"/>
          <w:lang w:val="tr-TR"/>
        </w:rPr>
        <w:t xml:space="preserve"> oluşturur. Fosil yakıtların yanmasıyla atmosfere salınan SO</w:t>
      </w:r>
      <w:r>
        <w:rPr>
          <w:rFonts w:ascii="Times New Roman" w:hAnsi="Times New Roman" w:cs="Times New Roman"/>
          <w:lang w:val="tr-TR"/>
          <w:vertAlign w:val="subscript"/>
        </w:rPr>
        <w:t xml:space="preserve">2</w:t>
      </w:r>
      <w:r>
        <w:rPr>
          <w:rFonts w:ascii="Times New Roman" w:hAnsi="Times New Roman" w:cs="Times New Roman"/>
          <w:lang w:val="tr-TR"/>
        </w:rPr>
        <w:t xml:space="preserve"> ve azot oksitlerin yağmur suyunda çözünmesi asit yağmurlarına neden olur (Görsel C). Atmosferdeki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okyanuslarda çözünmesi ise deniz suyunun pH değerini düşürür.</w:t>
      </w:r>
    </w:p>
    <w:p>
      <w:pPr>
        <w:jc w:val="center"/>
        <w:rPr>
          <w:rFonts w:ascii="Times New Roman" w:hAnsi="Times New Roman" w:cs="Times New Roman"/>
          <w:lang w:val="tr-TR"/>
        </w:rPr>
      </w:pPr>
      <w:r>
        <w:rPr>
          <w:rFonts w:ascii="Times New Roman" w:hAnsi="Times New Roman" w:cs="Times New Roman"/>
          <w:lang w:val="tr-TR"/>
        </w:rPr>
        <w:t xml:space="preserve">SO</w:t>
      </w:r>
      <w:r>
        <w:rPr>
          <w:rFonts w:ascii="Times New Roman" w:hAnsi="Times New Roman" w:cs="Times New Roman"/>
          <w:lang w:val="tr-TR"/>
          <w:vertAlign w:val="subscript"/>
        </w:rPr>
        <w:t xml:space="preserve">3</w:t>
      </w:r>
      <w:r>
        <w:rPr>
          <w:rFonts w:ascii="Times New Roman" w:hAnsi="Times New Roman" w:cs="Times New Roman"/>
          <w:lang w:val="tr-TR"/>
        </w:rPr>
        <w:t xml:space="preserve">(g)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(suda)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(g)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2HNO</w:t>
      </w:r>
      <w:r>
        <w:rPr>
          <w:rFonts w:ascii="Times New Roman" w:hAnsi="Times New Roman" w:cs="Times New Roman"/>
          <w:lang w:val="tr-TR"/>
          <w:vertAlign w:val="subscript"/>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Asidik özellik gösteren ametal oksitlerde genellikle oksijen atomu sayısı ametal atomu sayısından fazladır. Oksijen atomu sayısı ametal atomu sayısına eşit ya da ondan az olan CO, NO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 gibi oksitler ise suyla asit oluşturmaz; bu oksitlere </w:t>
      </w:r>
      <w:r>
        <w:rPr>
          <w:rFonts w:ascii="Times New Roman" w:hAnsi="Times New Roman" w:cs="Times New Roman"/>
          <w:b/>
          <w:bCs/>
          <w:lang w:val="tr-TR"/>
        </w:rPr>
        <w:t xml:space="preserve">nötr oksitler</w:t>
      </w:r>
      <w:r>
        <w:rPr>
          <w:rFonts w:ascii="Times New Roman" w:hAnsi="Times New Roman" w:cs="Times New Roman"/>
          <w:lang w:val="tr-TR"/>
        </w:rPr>
        <w:t xml:space="preserve"> denir. Ametal oksitlerin asidik özelliği sanayide de kullanılır: Kükürdün yakılmasıyla elde edilen SO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3</w:t>
      </w:r>
      <w:r>
        <w:rPr>
          <w:rFonts w:ascii="Times New Roman" w:hAnsi="Times New Roman" w:cs="Times New Roman"/>
          <w:lang w:val="tr-TR"/>
        </w:rPr>
        <w:t xml:space="preserve">’e yükseltgendikten sonra suyla tepkimeye sokularak gübre, pil ve boya üretiminde kullanılan sülfürik asit elde edilir. Gazlı içeceklere basınç altında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eklenmesi ise içeceğin hafif asidik tadını oluşturur.</w:t>
      </w:r>
    </w:p>
    <w:p>
      <w:pPr>
        <w:jc w:val="both"/>
        <w:rPr>
          <w:rFonts w:ascii="Times New Roman" w:hAnsi="Times New Roman" w:cs="Times New Roman"/>
          <w:lang w:val="tr-TR"/>
        </w:rPr>
      </w:pPr>
      <w:r>
        <w:rPr>
          <w:rFonts w:ascii="Times New Roman" w:hAnsi="Times New Roman" w:cs="Times New Roman"/>
          <w:lang w:val="tr-TR"/>
        </w:rPr>
        <w:t xml:space="preserve">Peki metallerin oksitleri de suyla etkileştiğinde asit mi oluşturur? Metal oksitlerin büyük bölümü suyla birleştiğinde hidroksit, yani baz verir; bunlara bazik oksitler denir. Örneğin sönmemiş kireç (CaO) suyla sönmüş kireci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oluşturur.</w:t>
      </w:r>
    </w:p>
    <w:p>
      <w:pPr>
        <w:jc w:val="center"/>
        <w:rPr>
          <w:rFonts w:ascii="Times New Roman" w:hAnsi="Times New Roman" w:cs="Times New Roman"/>
          <w:lang w:val="tr-TR"/>
        </w:rPr>
      </w:pPr>
      <w:r>
        <w:rPr>
          <w:rFonts w:ascii="Times New Roman" w:hAnsi="Times New Roman" w:cs="Times New Roman"/>
          <w:lang w:val="tr-TR"/>
        </w:rPr>
        <w:t xml:space="preserve">CaO(k)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Na</w:t>
      </w:r>
      <w:r>
        <w:rPr>
          <w:rFonts w:ascii="Times New Roman" w:hAnsi="Times New Roman" w:cs="Times New Roman"/>
          <w:vertAlign w:val="subscript"/>
          <w:lang w:val="tr-TR"/>
        </w:rPr>
        <w:t xml:space="preserve">2</w:t>
      </w:r>
      <w:r>
        <w:rPr>
          <w:rFonts w:ascii="Times New Roman" w:hAnsi="Times New Roman" w:cs="Times New Roman"/>
          <w:lang w:val="tr-TR"/>
        </w:rPr>
        <w:t xml:space="preserve">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w:t>
      </w:r>
    </w:p>
    <w:p>
      <w:pPr>
        <w:jc w:val="center"/>
      </w:pPr>
      <w:r>
        <w:drawing>
          <wp:inline xmlns:a="http://schemas.openxmlformats.org/drawingml/2006/main" xmlns:pic="http://schemas.openxmlformats.org/drawingml/2006/picture">
            <wp:extent cx="3070674" cy="2520000"/>
            <wp:docPr id="900010" name="Picture 900010"/>
            <wp:cNvGraphicFramePr>
              <a:graphicFrameLocks noChangeAspect="1"/>
            </wp:cNvGraphicFramePr>
            <a:graphic>
              <a:graphicData uri="http://schemas.openxmlformats.org/drawingml/2006/picture">
                <pic:pic>
                  <pic:nvPicPr>
                    <pic:cNvPr id="0" name="2829837163_d.jpg"/>
                    <pic:cNvPicPr/>
                  </pic:nvPicPr>
                  <pic:blipFill>
                    <a:blip r:embed="rId13"/>
                    <a:stretch>
                      <a:fillRect/>
                    </a:stretch>
                  </pic:blipFill>
                  <pic:spPr>
                    <a:xfrm>
                      <a:off x="0" y="0"/>
                      <a:ext cx="3070674"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2829837163</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Asit yağmurlarından etkilenmiş bir orman</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tepkimesinde Brønsted-Lowry asit ve bazlarını, eşlenik asit-baz çiftlerini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su molekülünden proton alarak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’e dönüşmüştür; bu nedenle Brønsted-Lowry bazıdır. Su proton vermiştir; Brønsted-Lowry asididir. Geri tepkimede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proton veren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proton alan bazdır.</w:t>
      </w:r>
    </w:p>
    <w:p>
      <w:pPr>
        <w:jc w:val="both"/>
        <w:rPr>
          <w:rFonts w:ascii="Times New Roman" w:hAnsi="Times New Roman" w:cs="Times New Roman"/>
          <w:lang w:val="tr-TR"/>
        </w:rPr>
      </w:pPr>
      <w:r>
        <w:rPr>
          <w:rFonts w:ascii="Times New Roman" w:hAnsi="Times New Roman" w:cs="Times New Roman"/>
          <w:lang w:val="tr-TR"/>
        </w:rPr>
        <w:t xml:space="preserve">Eşlenik çiftler: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lang w:val="tr-TR"/>
        </w:rPr>
        <w:t xml:space="preserve">Asit-baz tanımlarını pekiştirmek için sınıfınızda bir kart oyunu tasarlayabilirsiniz. Kartların bir yüzüne HCl,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NaOH gibi türleri, diğer yüzüne ise bu türlerin Arrhenius ve Brønsted-Lowry teorilerine göre asit, baz ya da amfoter olma durumlarını ve eşlenik asit/bazlarını yazınız. Kartları eşleştiren grup puan kazanır.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Aşağıdaki tepkimelerde Brønsted-Lowry asit ve bazlarını belirleyerek eşlenik asit-baz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HF(suda) + 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F</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türlerin eşlenik bazlarını yazınız: HCl,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türlerin eşlenik asitlerini yazınız: F</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maddeleri monofonksiyonel ve polifonksiyonel asit/baz olarak sınıflandırınız: HBr,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KOH,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HCOOH</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SO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suda çözünmesine ait denklemi yazarak çözeltinin asidik mi bazik mi olduğunu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oksitleri asidik, bazik ve nötr oksit olarak sınıflandırınız: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CO, K</w:t>
      </w:r>
      <w:r>
        <w:rPr>
          <w:rFonts w:ascii="Times New Roman" w:hAnsi="Times New Roman" w:cs="Times New Roman"/>
          <w:vertAlign w:val="subscript"/>
          <w:lang w:val="tr-TR"/>
        </w:rPr>
        <w:t xml:space="preserve">2</w:t>
      </w:r>
      <w:r>
        <w:rPr>
          <w:rFonts w:ascii="Times New Roman" w:hAnsi="Times New Roman" w:cs="Times New Roman"/>
          <w:lang w:val="tr-TR"/>
        </w:rPr>
        <w:t xml:space="preserve">O, SO</w:t>
      </w:r>
      <w:r>
        <w:rPr>
          <w:rFonts w:ascii="Times New Roman" w:hAnsi="Times New Roman" w:cs="Times New Roman"/>
          <w:vertAlign w:val="subscript"/>
          <w:lang w:val="tr-TR"/>
        </w:rPr>
        <w:t xml:space="preserve">2</w:t>
      </w:r>
      <w:r>
        <w:rPr>
          <w:rFonts w:ascii="Times New Roman" w:hAnsi="Times New Roman" w:cs="Times New Roman"/>
          <w:lang w:val="tr-TR"/>
        </w:rPr>
        <w:t xml:space="preserve">, NO, MgO</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Brønsted-Lowry asit-baz tanımını kullanarak eşlenik asit-baz çiftlerini bulacağınız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