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p>
      <w:pPr>
        <w:jc w:val="center"/>
      </w:pPr>
      <w:r>
        <w:drawing>
          <wp:inline xmlns:a="http://schemas.openxmlformats.org/drawingml/2006/main" xmlns:pic="http://schemas.openxmlformats.org/drawingml/2006/picture">
            <wp:extent cx="5400000" cy="3978000"/>
            <wp:docPr id="900013" name="Picture 900013"/>
            <wp:cNvGraphicFramePr>
              <a:graphicFrameLocks noChangeAspect="1"/>
            </wp:cNvGraphicFramePr>
            <a:graphic>
              <a:graphicData uri="http://schemas.openxmlformats.org/drawingml/2006/picture">
                <pic:pic>
                  <pic:nvPicPr>
                    <pic:cNvPr id="0" name="2438110191_d.jpg"/>
                    <pic:cNvPicPr/>
                  </pic:nvPicPr>
                  <pic:blipFill>
                    <a:blip r:embed="rId13"/>
                    <a:stretch>
                      <a:fillRect/>
                    </a:stretch>
                  </pic:blipFill>
                  <pic:spPr>
                    <a:xfrm>
                      <a:off x="0" y="0"/>
                      <a:ext cx="5400000" cy="3978000"/>
                    </a:xfrm>
                    <a:prstGeom prst="rect"/>
                  </pic:spPr>
                </pic:pic>
              </a:graphicData>
            </a:graphic>
          </wp:inline>
        </w:drawing>
      </w:r>
    </w:p>
    <w:p>
      <w:pPr>
        <w:jc w:val="center"/>
      </w:pPr>
      <w:r>
        <w:rPr>
          <w:rFonts w:ascii="Times New Roman" w:hAnsi="Times New Roman" w:cs="Times New Roman"/>
          <w:b/>
          <w:bCs/>
          <w:highlight w:val="yellow"/>
          <w:lang w:val="tr-TR"/>
        </w:rPr>
        <w:t xml:space="preserve">Shutter id: 2438110191 (bölüm kapağı, tam sayfa)</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p>
      <w:pPr>
        <w:jc w:val="center"/>
      </w:pPr>
      <w:r>
        <w:drawing>
          <wp:inline xmlns:a="http://schemas.openxmlformats.org/drawingml/2006/main" xmlns:pic="http://schemas.openxmlformats.org/drawingml/2006/picture">
            <wp:extent cx="5400000" cy="3394800"/>
            <wp:docPr id="900014" name="Picture 900014"/>
            <wp:cNvGraphicFramePr>
              <a:graphicFrameLocks noChangeAspect="1"/>
            </wp:cNvGraphicFramePr>
            <a:graphic>
              <a:graphicData uri="http://schemas.openxmlformats.org/drawingml/2006/picture">
                <pic:pic>
                  <pic:nvPicPr>
                    <pic:cNvPr id="0" name="4198128129_d.jpg"/>
                    <pic:cNvPicPr/>
                  </pic:nvPicPr>
                  <pic:blipFill>
                    <a:blip r:embed="rId14"/>
                    <a:stretch>
                      <a:fillRect/>
                    </a:stretch>
                  </pic:blipFill>
                  <pic:spPr>
                    <a:xfrm>
                      <a:off x="0" y="0"/>
                      <a:ext cx="5400000" cy="3394800"/>
                    </a:xfrm>
                    <a:prstGeom prst="rect"/>
                  </pic:spPr>
                </pic:pic>
              </a:graphicData>
            </a:graphic>
          </wp:inline>
        </w:drawing>
      </w:r>
    </w:p>
    <w:p>
      <w:pPr>
        <w:jc w:val="center"/>
      </w:pPr>
      <w:r>
        <w:rPr>
          <w:rFonts w:ascii="Times New Roman" w:hAnsi="Times New Roman" w:cs="Times New Roman"/>
          <w:b/>
          <w:bCs/>
          <w:highlight w:val="yellow"/>
          <w:lang w:val="tr-TR"/>
        </w:rPr>
        <w:t xml:space="preserve">Shutter id: 4198128129 (bölüm kapağı, tam sayfa)</w:t>
      </w:r>
    </w:p>
    <w:p>
      <w:pPr>
        <w:jc w:val="center"/>
      </w:pPr>
      <w:r>
        <w:drawing>
          <wp:inline xmlns:a="http://schemas.openxmlformats.org/drawingml/2006/main" xmlns:pic="http://schemas.openxmlformats.org/drawingml/2006/picture">
            <wp:extent cx="3436363" cy="2520000"/>
            <wp:docPr id="900015" name="Picture 900015"/>
            <wp:cNvGraphicFramePr>
              <a:graphicFrameLocks noChangeAspect="1"/>
            </wp:cNvGraphicFramePr>
            <a:graphic>
              <a:graphicData uri="http://schemas.openxmlformats.org/drawingml/2006/picture">
                <pic:pic>
                  <pic:nvPicPr>
                    <pic:cNvPr id="0" name="2470794031_d.jpg"/>
                    <pic:cNvPicPr/>
                  </pic:nvPicPr>
                  <pic:blipFill>
                    <a:blip r:embed="rId15"/>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2470794031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(Görsel B). Bu atıkların büyük bir kısmı çöp depolama alanlarına gönderilir ve burada bozunarak sera gazlarının oluşmasına katkıda bulunur. Oysa aynı atıklar uygun koşullarda mikroorganizmalar yardımıyla temiz bir yakıt olan hidrojen gazına dönüştürülebilir.</w:t>
      </w:r>
    </w:p>
    <w:p>
      <w:pPr>
        <w:jc w:val="both"/>
        <w:rPr>
          <w:rFonts w:ascii="Times New Roman" w:hAnsi="Times New Roman" w:cs="Times New Roman"/>
          <w:lang w:val="tr-TR"/>
        </w:rPr>
      </w:pPr>
      <w:r>
        <w:rPr>
          <w:rFonts w:ascii="Times New Roman" w:hAnsi="Times New Roman" w:cs="Times New Roman"/>
          <w:lang w:val="tr-TR"/>
        </w:rPr>
        <w:t xml:space="preserve">Bilim ve teknolojideki gelişmeler, nanometre boyutundaki maddelerin özelliklerinden yararlanan pek çok yeni ürünü de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w:t>
      </w:r>
    </w:p>
    <w:p>
      <w:pPr>
        <w:jc w:val="both"/>
        <w:rPr>
          <w:rFonts w:ascii="Times New Roman" w:hAnsi="Times New Roman" w:cs="Times New Roman"/>
          <w:lang w:val="tr-TR"/>
        </w:rPr>
      </w:pPr>
      <w:r>
        <w:rPr>
          <w:rFonts w:ascii="Times New Roman" w:hAnsi="Times New Roman" w:cs="Times New Roman"/>
          <w:lang w:val="tr-TR"/>
        </w:rPr>
        <w:t xml:space="preserve">Bu örneklerin her biri, bir yandan yaşamımızı kolaylaştıran yeniliklerin diğer yandan çevre ve sağlık üzerinde nasıl etkiler bırakabileceğini düşünmemizi gerektirir. Sürdürülebilirlik, bugünün ihtiyaçlarını karşılarken gelecek kuşakların da kendi ihtiyaçlarını karşılayabilmesini gözeten bir yaklaşımdır. Kimya, atıkları kaynağa dönüştüren, daha az zarar veren malzemeler geliştiren ve ürünlerin etkilerini bilimsel olarak değerlendiren çalışmalarla bu yaklaşıma önemli katkılar sağlar.</w:t>
      </w:r>
    </w:p>
    <w:p>
      <w:pPr>
        <w:jc w:val="both"/>
        <w:rPr>
          <w:rFonts w:ascii="Times New Roman" w:hAnsi="Times New Roman" w:cs="Times New Roman"/>
          <w:lang w:val="tr-TR"/>
        </w:rPr>
      </w:pPr>
      <w:r>
        <w:rPr>
          <w:rFonts w:ascii="Times New Roman" w:hAnsi="Times New Roman" w:cs="Times New Roman"/>
          <w:lang w:val="tr-TR"/>
        </w:rPr>
        <w:t xml:space="preserve">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p>
      <w:pPr>
        <w:jc w:val="center"/>
      </w:pPr>
      <w:r>
        <w:drawing>
          <wp:inline xmlns:a="http://schemas.openxmlformats.org/drawingml/2006/main" xmlns:pic="http://schemas.openxmlformats.org/drawingml/2006/picture">
            <wp:extent cx="3433242" cy="2520000"/>
            <wp:docPr id="900011" name="Picture 900011"/>
            <wp:cNvGraphicFramePr>
              <a:graphicFrameLocks noChangeAspect="1"/>
            </wp:cNvGraphicFramePr>
            <a:graphic>
              <a:graphicData uri="http://schemas.openxmlformats.org/drawingml/2006/picture">
                <pic:pic>
                  <pic:nvPicPr>
                    <pic:cNvPr id="0" name="1576281232_d.jpg"/>
                    <pic:cNvPicPr/>
                  </pic:nvPicPr>
                  <pic:blipFill>
                    <a:blip r:embed="rId11"/>
                    <a:stretch>
                      <a:fillRect/>
                    </a:stretch>
                  </pic:blipFill>
                  <pic:spPr>
                    <a:xfrm>
                      <a:off x="0" y="0"/>
                      <a:ext cx="343324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1576281232</w:t>
      </w:r>
    </w:p>
    <w:p>
      <w:pPr>
        <w:jc w:val="center"/>
        <w:rPr>
          <w:rFonts w:ascii="Times New Roman" w:hAnsi="Times New Roman" w:cs="Times New Roman"/>
          <w:lang w:val="tr-TR"/>
        </w:rPr>
      </w:pPr>
      <w:r>
        <w:rPr>
          <w:rFonts w:ascii="Times New Roman" w:hAnsi="Times New Roman" w:cs="Times New Roman"/>
          <w:lang w:val="tr-TR"/>
        </w:rPr>
        <w:t xml:space="preserve">Bir ailenin haftalık evsel atıkları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(Görsel C). Bu projelerde hidrojen nasıl kullanılmış olabilir? Hidrojen gazı evlerimizden çıkan atıklardan (Görsel D)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360416"/>
                  <wp:docPr id="900012" name="Picture 900012"/>
                  <wp:cNvGraphicFramePr>
                    <a:graphicFrameLocks noChangeAspect="1"/>
                  </wp:cNvGraphicFramePr>
                  <a:graphic>
                    <a:graphicData uri="http://schemas.openxmlformats.org/drawingml/2006/picture">
                      <pic:pic>
                        <pic:nvPicPr>
                          <pic:cNvPr id="0" name="1922618339_d.jpg"/>
                          <pic:cNvPicPr/>
                        </pic:nvPicPr>
                        <pic:blipFill>
                          <a:blip r:embed="rId12"/>
                          <a:stretch>
                            <a:fillRect/>
                          </a:stretch>
                        </pic:blipFill>
                        <pic:spPr>
                          <a:xfrm>
                            <a:off x="0" y="0"/>
                            <a:ext cx="2664000" cy="1360416"/>
                          </a:xfrm>
                          <a:prstGeom prst="rect"/>
                        </pic:spPr>
                      </pic:pic>
                    </a:graphicData>
                  </a:graphic>
                </wp:inline>
              </w:drawing>
            </w:r>
          </w:p>
          <w:p>
            <w:pPr>
              <w:jc w:val="center"/>
            </w:pPr>
            <w:r>
              <w:rPr>
                <w:rFonts w:ascii="Times New Roman" w:hAnsi="Times New Roman" w:cs="Times New Roman"/>
                <w:b/>
                <w:bCs/>
                <w:highlight w:val="yellow"/>
                <w:lang w:val="tr-TR"/>
              </w:rPr>
              <w:t xml:space="preserve">Shutter id: 1922618339</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Hidrojen yakıt pilli araç</w:t>
            </w:r>
          </w:p>
        </w:tc>
        <w:tc>
          <w:tcPr>
            <w:tcW w:w="4500" w:type="dxa"/>
          </w:tcPr>
          <w:p>
            <w:pPr>
              <w:jc w:val="center"/>
            </w:pPr>
            <w:r>
              <w:drawing>
                <wp:inline xmlns:a="http://schemas.openxmlformats.org/drawingml/2006/main" xmlns:pic="http://schemas.openxmlformats.org/drawingml/2006/picture">
                  <wp:extent cx="2664000" cy="1957152"/>
                  <wp:docPr id="900016" name="Picture 900016"/>
                  <wp:cNvGraphicFramePr>
                    <a:graphicFrameLocks noChangeAspect="1"/>
                  </wp:cNvGraphicFramePr>
                  <a:graphic>
                    <a:graphicData uri="http://schemas.openxmlformats.org/drawingml/2006/picture">
                      <pic:pic>
                        <pic:nvPicPr>
                          <pic:cNvPr id="0" name="2723825975_d.jpg"/>
                          <pic:cNvPicPr/>
                        </pic:nvPicPr>
                        <pic:blipFill>
                          <a:blip r:embed="rId16"/>
                          <a:stretch>
                            <a:fillRect/>
                          </a:stretch>
                        </pic:blipFill>
                        <pic:spPr>
                          <a:xfrm>
                            <a:off x="0" y="0"/>
                            <a:ext cx="2664000" cy="1957152"/>
                          </a:xfrm>
                          <a:prstGeom prst="rect"/>
                        </pic:spPr>
                      </pic:pic>
                    </a:graphicData>
                  </a:graphic>
                </wp:inline>
              </w:drawing>
            </w:r>
          </w:p>
          <w:p>
            <w:pPr>
              <w:jc w:val="center"/>
            </w:pPr>
            <w:r>
              <w:rPr>
                <w:rFonts w:ascii="Times New Roman" w:hAnsi="Times New Roman" w:cs="Times New Roman"/>
                <w:b/>
                <w:bCs/>
                <w:highlight w:val="yellow"/>
                <w:lang w:val="tr-TR"/>
              </w:rPr>
              <w:t xml:space="preserve">Shutter id: 2723825975</w:t>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Organik evsel atıklar</w:t>
            </w:r>
          </w:p>
        </w:tc>
      </w:tr>
    </w:tbl>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YANICI MADDE, YANGIN UYARISI, SICAK CİSİM UYARISI, KESİCİ/DELİCİ CİSİM UYARISI, KIRILABİLİR CAM UYARISI. Ek uyarılar: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enerjisinin ne olduğuna ve hidrojenin hangi kaynaklardan, hangi yöntemlerle elde edilebileceğine ilişkin tanıtıcı bilgileri ders kitabınızdan ve güvenilir kaynaklardan inceleyiniz. 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Bu süreçte mikroorganizmaların rolü nedir ve fermantasyonun gerçekleşmesi için hangi koşullar gereklidir?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Seçtiğiniz evsel atıklar, plastik şişeler, balon ya da gaz şırıngası, kuru maya (ya da öğretmeninizin sağladığı bakteri kültürü), ılık su, terazi, cetvel ve termometre gibi malzemeler kullanabilirsiniz. Deneyinizi gerçekleştirmek için farklı malzemeler de tercih edebilirsiniz. Deneyinizi gerçekleştirirken uymanız gereken güvenlik uyarılarını belirleyiniz. Deney sonunda çalışma alanınızı temiz bırakınız.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 bu deneyin verileriyle sınayabildiğinizi, bunlardan hangilerinin desteklendiğini ya da desteklenmediğini belirtiniz. Bu deneyle sınanamayan hipotezleriniz (atığın kütlesi, ortamın sıcaklığı vb.) için hangi değişkeni değiştirip hangilerini sabit tutmanız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Hidrojen evrende en bol bulunan element olmasına karşın dünyada serbest hâlde çok az bulunur; su, hidrokarbonlar ve biyokütle gibi bileşiklerin yapısında yer alır. Bu nedenle hidrojen, doğadan doğrudan alınıp kullanılabilen bir birincil enerji kaynağı değil, başka kaynaklardan üretilmesi gereken bir enerji taşıyıcısıdır. Hidrojen yakıt olarak yakıldığında ya da yakıt pillerinde oksijenle tepkimeye girdiğinde ürün olarak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Güneş ve rüzgâr gibi yenilenebilir enerji kaynaklarından elde edilen elektrikle suyun elektrolizi ya da biyokütle ve evsel atıklar gibi yenilenebilir kaynaklardan biyolojik yöntemlerle üretilen hidrojene yeşil hidrojen denir. Yeşil hidrojenin yakıt olarak kullanılmasıyla elde edilen enerjiye ise yeşil hidrojen enerjisi denir.</w:t>
      </w:r>
      <w:r>
        <w:rPr>
          <w:rFonts w:ascii="Times New Roman" w:hAnsi="Times New Roman" w:cs="Times New Roman"/>
          <w:b/>
          <w:bCs/>
          <w:lang w:val="tr-TR"/>
        </w:rPr>
        <w:t xml:space="preserve"/>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Evsel atıklardan hidrojen elde edilmesi, atıklardaki organik maddeleri besin olarak kullanan mikroorganizmaların etkinliğine dayanır. Fermantasyon (mayalanma), mikroorganizmaların oksijensiz ortamda organik maddeleri daha basit maddelere dönüştürerek enerji elde ettikleri süreçtir. Yoğurt, turşu ve ekmek yapımında fermantasyondan yararlanılır. Fermantasyonun ürünleri mikroorganizmanın türüne bağlıdır: Ekmek mayası şekerleri etil alkol ve karbon dioksite dönüştürür; bazı bakteriler ise karbonhidratları parçalarken hidrojen gazı da üretir. Bakterilerin ışık olmadan ve oksijensiz ortamda karbonhidratları parçalayarak hidrojen ürettiği bu sürece karanlık fermantasyon denir. Örneğin glikozun asetik aside dönüştüğü karanlık fermantasyon tepkimesi aşağıdaki gibidir: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Hidrojen üreten mikroorganizmaların hepsi karanlıkta çalışmaz; bazıları ışığın enerjisinden yararlanır. Mikroorganizmaların ışığa ihtiyaç duyup duymadığı ve kullandıkları başlangıç maddesi dikkate alındığında hidrojen üretiminde kullanılan biyolojik yöntemler üç grupta toplanır: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Karanlık fermantasyon: Oksijensiz (anaerobik) ortamda yaşayan bakteriler ışık kullanmadan karbonhidratları parçalar; bu yönteme ait tepkime örneği yukarıda verilmiştir.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kurulan düzeneklerde toplanan gaz hacimlerinin farklı olması, fermantasyonun ne kadar ilerleyeceğinin atığın türüne bağlı olduğunu gösterir. Ancak atığın türü, fermantasyonla elde edilen hidrojen gazı miktarını etkileyen faktörlerden yalnızca biridir. Bu faktörler ve etkileri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A’daki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Sıcaklığın etkisini bir örnek üzerinde inceleyelim. Şeker fabrikalarında şeker alındıktan sonra kalan şeker pancarı posasından eşit kütlede alınarak eşit hacimde su ile karıştırılmış olsun. Her karışıma aynı miktarda, ısıl işlem uygulanmış mikroorganizma karışımı eklenip düzenekler karanlık ve oksijensiz ortamda farklı sıcaklıklarda 48 saat bekletilsin. Bu deneyde toplanan hidrojen gazı hacimleri Tablo B’deki gibi olsun.</w:t>
      </w:r>
    </w:p>
    <w:p>
      <w:pPr>
        <w:jc w:val="center"/>
        <w:rPr>
          <w:rFonts w:ascii="Times New Roman" w:hAnsi="Times New Roman" w:cs="Times New Roman"/>
          <w:lang w:val="tr-TR"/>
        </w:rPr>
      </w:pPr>
      <w:r>
        <w:rPr>
          <w:rFonts w:ascii="Times New Roman" w:hAnsi="Times New Roman" w:cs="Times New Roman"/>
          <w:lang w:val="tr-TR"/>
        </w:rPr>
        <w:t xml:space="preserve">Tablo B: Şeker pancarı posasının karanlık fermantasyonunda 48 saatte toplanan hidrojen gazı hacminin sıcaklıkla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Sıcaklık (°C)</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Toplanan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hacmi (mL)</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85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190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160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60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w:t>
            </w:r>
          </w:p>
        </w:tc>
      </w:tr>
    </w:tbl>
    <w:p/>
    <w:p>
      <w:pPr>
        <w:jc w:val="both"/>
        <w:rPr>
          <w:rFonts w:ascii="Times New Roman" w:hAnsi="Times New Roman" w:cs="Times New Roman"/>
          <w:lang w:val="tr-TR"/>
        </w:rPr>
      </w:pPr>
      <w:r>
        <w:rPr>
          <w:rFonts w:ascii="Times New Roman" w:hAnsi="Times New Roman" w:cs="Times New Roman"/>
          <w:lang w:val="tr-TR"/>
        </w:rPr>
        <w:t xml:space="preserve">Tablo B’ye göre toplanan hidrojen miktarı 20 °C’den 35 °C’ye kadar artmakta, 35 °C’den sonra ise hızla azalmaktadır. Düşük sıcaklıklarda mikroorganizmaların enzimleri yavaş çalıştığı için fermantasyon yavaş ilerler; sıcaklık yükseldikçe enzimlerin etkinliği ve fermantasyonun hızı artar. Mikroorganizmaların dayanabileceği sıcaklık aşıldığında ise enzimlerin yapısı bozulur, mikroorganizmalar zarar görür ve hidrojen üretimi düşer. Bu nedenle “Sıcaklık arttıkça elde edilen hidrojen miktarı artar.” önermesi yalnızca belirli bir sıcaklık aralığında geçerlidir. Bu örnekte en uygun sıcaklık 35 °C civarındadır; evsel atıklarla yapılan karanlık fermantasyon çalışmalarında da en uygun sıcaklık aralığı genellikle 25-40 °C’dir. Atık miktarı, pH ve bekleme süresi gibi faktörler için de benzer biçimde en yüksek verimin elde edildiği bir aralık bulunur.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Kaynaklarda bu renklerin kullanımı küçük farklılıklar gösterebilir.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CO</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gazı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p>
      <w:pPr>
        <w:jc w:val="center"/>
      </w:pPr>
      <w:r>
        <w:drawing>
          <wp:inline xmlns:a="http://schemas.openxmlformats.org/drawingml/2006/main" xmlns:pic="http://schemas.openxmlformats.org/drawingml/2006/picture">
            <wp:extent cx="5040000" cy="2224320"/>
            <wp:docPr id="900017" name="Picture 900017"/>
            <wp:cNvGraphicFramePr>
              <a:graphicFrameLocks noChangeAspect="1"/>
            </wp:cNvGraphicFramePr>
            <a:graphic>
              <a:graphicData uri="http://schemas.openxmlformats.org/drawingml/2006/picture">
                <pic:pic>
                  <pic:nvPicPr>
                    <pic:cNvPr id="0" name="2446755651_d.jpg"/>
                    <pic:cNvPicPr/>
                  </pic:nvPicPr>
                  <pic:blipFill>
                    <a:blip r:embed="rId17"/>
                    <a:stretch>
                      <a:fillRect/>
                    </a:stretch>
                  </pic:blipFill>
                  <pic:spPr>
                    <a:xfrm>
                      <a:off x="0" y="0"/>
                      <a:ext cx="5040000" cy="2224320"/>
                    </a:xfrm>
                    <a:prstGeom prst="rect"/>
                  </pic:spPr>
                </pic:pic>
              </a:graphicData>
            </a:graphic>
          </wp:inline>
        </w:drawing>
      </w:r>
    </w:p>
    <w:p>
      <w:pPr>
        <w:jc w:val="center"/>
      </w:pPr>
      <w:r>
        <w:rPr>
          <w:rFonts w:ascii="Times New Roman" w:hAnsi="Times New Roman" w:cs="Times New Roman"/>
          <w:b/>
          <w:bCs/>
          <w:highlight w:val="yellow"/>
          <w:lang w:val="tr-TR"/>
        </w:rPr>
        <w:t xml:space="preserve">Shutter id: 2446755651</w:t>
      </w:r>
    </w:p>
    <w:p>
      <w:pPr>
        <w:jc w:val="center"/>
        <w:rPr>
          <w:rFonts w:ascii="Times New Roman" w:hAnsi="Times New Roman" w:cs="Times New Roman"/>
          <w:lang w:val="tr-TR"/>
        </w:rPr>
      </w:pPr>
      <w:r>
        <w:rPr>
          <w:rFonts w:ascii="Times New Roman" w:hAnsi="Times New Roman" w:cs="Times New Roman"/>
          <w:lang w:val="tr-TR"/>
        </w:rPr>
        <w:t xml:space="preserve">Yenilenebilir enerjiyle hidrojen üretimi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karbon dioksit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haşlanmış mısır tanesi ve tavuk derisi artığını aynı koşullarda karanlık fermantasyona bırakıyor. Mısır tanesi bulunan düzenekte daha fazla hidrojen gazı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tepkimesine göre 90 g glikozdan en fazla kaç mol hidrojen gazı elde edilebilir?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