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(Görsel A).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B)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1824"/>
                  <wp:docPr id="900008" name="Picture 900008"/>
                  <wp:cNvGraphicFramePr>
                    <a:graphicFrameLocks noChangeAspect="1"/>
                  </wp:cNvGraphicFramePr>
                  <a:graphic>
                    <a:graphicData uri="http://schemas.openxmlformats.org/drawingml/2006/picture">
                      <pic:pic>
                        <pic:nvPicPr>
                          <pic:cNvPr id="0" name="2475259167_d.jpg"/>
                          <pic:cNvPicPr/>
                        </pic:nvPicPr>
                        <pic:blipFill>
                          <a:blip r:embed="rId11"/>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2475259167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Ekşi tadıyla bilinen limon ve kaygan sabunlar</w:t>
            </w:r>
          </w:p>
        </w:tc>
        <w:tc>
          <w:tcPr>
            <w:tcW w:w="4500" w:type="dxa"/>
          </w:tcPr>
          <w:p>
            <w:pPr>
              <w:jc w:val="center"/>
            </w:pPr>
            <w:r>
              <w:drawing>
                <wp:inline xmlns:a="http://schemas.openxmlformats.org/drawingml/2006/main" xmlns:pic="http://schemas.openxmlformats.org/drawingml/2006/picture">
                  <wp:extent cx="2664000" cy="1752912"/>
                  <wp:docPr id="900009" name="Picture 900009"/>
                  <wp:cNvGraphicFramePr>
                    <a:graphicFrameLocks noChangeAspect="1"/>
                  </wp:cNvGraphicFramePr>
                  <a:graphic>
                    <a:graphicData uri="http://schemas.openxmlformats.org/drawingml/2006/picture">
                      <pic:pic>
                        <pic:nvPicPr>
                          <pic:cNvPr id="0" name="785009308_d.jpg"/>
                          <pic:cNvPicPr/>
                        </pic:nvPicPr>
                        <pic:blipFill>
                          <a:blip r:embed="rId12"/>
                          <a:stretch>
                            <a:fillRect/>
                          </a:stretch>
                        </pic:blipFill>
                        <pic:spPr>
                          <a:xfrm>
                            <a:off x="0" y="0"/>
                            <a:ext cx="2664000" cy="1752912"/>
                          </a:xfrm>
                          <a:prstGeom prst="rect"/>
                        </pic:spPr>
                      </pic:pic>
                    </a:graphicData>
                  </a:graphic>
                </wp:inline>
              </w:drawing>
            </w:r>
          </w:p>
          <w:p>
            <w:pPr>
              <w:jc w:val="center"/>
            </w:pPr>
            <w:r>
              <w:rPr>
                <w:rFonts w:ascii="Times New Roman" w:hAnsi="Times New Roman" w:cs="Times New Roman"/>
                <w:b/>
                <w:bCs/>
                <w:highlight w:val="yellow"/>
                <w:lang w:val="tr-TR"/>
              </w:rPr>
              <w:t xml:space="preserve">Shutter id: 785009308</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ve hidrojen klorür gazlarının tepkimesi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7439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38354" cy="237439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I ve III numaralı tepkimelerin alt mikro gösterimi (Cl: yeşil, N: mavi, O: kırmızı, H: beyaz)</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yukarıdaki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ve aşağıdaki deneysel verileri inceleyiniz: 25 °C’de saf suyun pH değeri, havadaki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etkileştiğinde yaklaşık 5,6’ya, 1 atm basınçta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Arrhenius teorisi asit ve bazları yalnızca sudaki davranışlarına göre tanımlar ve maddenin yapısında H ya da OH bulunmasını esas alır.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HNO</w:t>
      </w:r>
      <w:r>
        <w:rPr>
          <w:rFonts w:ascii="Times New Roman" w:hAnsi="Times New Roman" w:cs="Times New Roman"/>
          <w:lang w:val="tr-TR"/>
          <w:vertAlign w:val="subscript"/>
        </w:rPr>
        <w:t xml:space="preserve">3</w:t>
      </w:r>
      <w:r>
        <w:rPr>
          <w:rFonts w:ascii="Times New Roman" w:hAnsi="Times New Roman" w:cs="Times New Roman"/>
          <w:lang w:val="tr-TR"/>
        </w:rPr>
        <w:t xml:space="preserve">, HBr, KOH,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bazlığını,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oksitlerin asitliğini ve su bulunmayan ortamda gerçekleşen asit-baz tepkimelerini açıklayamaz.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suda bazik özellik gösterir: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iyonlar da amfoter davranış gösterir.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 Örneğin HNO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 iyonlaşmasında ileri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 proton veren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alan bazdır; geri tepkimede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veren asit,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alan bazdır:</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ya da bir proton alabilen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bazlar monofonksiyonel; birden fazla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birden fazla proton alabilen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bazlar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 Fosforik asit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ise üç protonunu üç basamakta verir: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Ametallerin oksijenle oluşturduğu bileşiklere ametal oksit denir.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ise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(Görsel C).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p>
      <w:pPr>
        <w:jc w:val="center"/>
      </w:pPr>
      <w:r>
        <w:drawing>
          <wp:inline xmlns:a="http://schemas.openxmlformats.org/drawingml/2006/main" xmlns:pic="http://schemas.openxmlformats.org/drawingml/2006/picture">
            <wp:extent cx="3070674" cy="2520000"/>
            <wp:docPr id="900010" name="Picture 900010"/>
            <wp:cNvGraphicFramePr>
              <a:graphicFrameLocks noChangeAspect="1"/>
            </wp:cNvGraphicFramePr>
            <a:graphic>
              <a:graphicData uri="http://schemas.openxmlformats.org/drawingml/2006/picture">
                <pic:pic>
                  <pic:nvPicPr>
                    <pic:cNvPr id="0" name="2829837163_d.jpg"/>
                    <pic:cNvPicPr/>
                  </pic:nvPicPr>
                  <pic:blipFill>
                    <a:blip r:embed="rId13"/>
                    <a:stretch>
                      <a:fillRect/>
                    </a:stretch>
                  </pic:blipFill>
                  <pic:spPr>
                    <a:xfrm>
                      <a:off x="0" y="0"/>
                      <a:ext cx="307067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2829837163</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