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Kim11-1-5 EK: İleri ve Geri Aktivasyon Enerjisi</w:t>
      </w:r>
    </w:p>
    <w:p>
      <w:pPr>
        <w:jc w:val="both"/>
        <w:rPr>
          <w:rFonts w:ascii="Times New Roman" w:hAnsi="Times New Roman" w:cs="Times New Roman"/>
          <w:lang w:val="tr-TR"/>
        </w:rPr>
      </w:pPr>
      <w:r>
        <w:rPr>
          <w:rFonts w:ascii="Times New Roman" w:hAnsi="Times New Roman" w:cs="Times New Roman"/>
          <w:highlight w:val="yellow"/>
          <w:lang w:val="tr-TR"/>
        </w:rPr>
        <w:t xml:space="preserve">NOT: Bu ekin konu anlatımı ve Örnek-Çözüm Atölyesi 1.6. bölümü, Kim11-1-5 dosyasında Grafik A’dan (taneciklerin kinetik enerji dağılımı) sonra, video karekodundan önce eklenecektir. Sıra Sizde soruları ise ayrı dosyada gönderilen Sıra Sizde 1.5. dallanmış ağaç etkinliğinden sonra 2., 3. ve 4. madde olarak eklenecektir. Kalıp numaraları Tema 1 sırasına göre verilmiştir. Sıra Sizde başlığı altındaki sorular, dosyadaki mevcut Sıra Sizde etkinliğinin sonuna, madde numaraları devam ettirilerek eklenecektir; cevaplar CevapAnahtari dosyasındadır.</w:t>
      </w:r>
    </w:p>
    <w:p>
      <w:pPr>
        <w:jc w:val="both"/>
        <w:rPr>
          <w:rFonts w:ascii="Times New Roman" w:hAnsi="Times New Roman" w:cs="Times New Roman"/>
          <w:lang w:val="tr-TR"/>
        </w:rPr>
      </w:pPr>
      <w:r>
        <w:rPr>
          <w:rFonts w:ascii="Times New Roman" w:hAnsi="Times New Roman" w:cs="Times New Roman"/>
          <w:b/>
          <w:bCs/>
          <w:lang w:val="tr-TR"/>
        </w:rPr>
        <w:t xml:space="preserve">Aktivasyon Enerjisi ve Potansiyel Enerji Grafikleri</w:t>
      </w:r>
    </w:p>
    <w:p>
      <w:pPr>
        <w:jc w:val="both"/>
        <w:rPr>
          <w:rFonts w:ascii="Times New Roman" w:hAnsi="Times New Roman" w:cs="Times New Roman"/>
          <w:lang w:val="tr-TR"/>
        </w:rPr>
      </w:pPr>
      <w:r>
        <w:rPr>
          <w:rFonts w:ascii="Times New Roman" w:hAnsi="Times New Roman" w:cs="Times New Roman"/>
          <w:lang w:val="tr-TR"/>
        </w:rPr>
        <w:t xml:space="preserve">Grafik A’da eşik enerjisini aşan taneciklerin etkin çarpışma yapabildiğini gördünüz. Peki böyle bir çarpışma sırasında eski bağlar bir anda kopup yeni bağlar hemen mi oluşur, yoksa tanecikler ara bir düzenden mi geçer? Etkin bir çarpışma sırasında tepken tanecikleri arasındaki eski bağlar zayıflarken yeni bağlar oluşmaya başlar. Bu sırada oluşan, yüksek potansiyel enerjili, kısa ömürlü ve kararsız yapıya aktifleşmiş kompleks denir. Aktifleşmiş kompleks ya ürünlere dönüşür ya da yeniden tepkenlere ayrışır. Tepkenlerin potansiyel enerjisi ile aktifleşmiş kompleksin potansiyel enerjisi arasındaki fark, tepkimenin aktivasyon enerjisidir.</w:t>
      </w:r>
    </w:p>
    <w:p>
      <w:pPr>
        <w:jc w:val="both"/>
        <w:rPr>
          <w:rFonts w:ascii="Times New Roman" w:hAnsi="Times New Roman" w:cs="Times New Roman"/>
          <w:lang w:val="tr-TR"/>
        </w:rPr>
      </w:pPr>
      <w:r>
        <w:rPr>
          <w:rFonts w:ascii="Times New Roman" w:hAnsi="Times New Roman" w:cs="Times New Roman"/>
          <w:lang w:val="tr-TR"/>
        </w:rPr>
        <w:t xml:space="preserve">Aktifleşmiş kompleksin hem ürünlere hem de yeniden tepkenlere dönüşebilmesi, tepkimenin iki yönde de ele alınabileceğini gösterir. Tepkenlerin ürünlere dönüşmesine ileri tepkime, ürünlerin tepkenlere dönüşmesine geri tepkime denir. Grafik B’de tepkenlerin enerji düzeyi ile aktifleşmiş kompleksin enerji düzeyi arasındaki fark ileri aktivasyon enerjisi (E</w:t>
      </w:r>
      <w:r>
        <w:rPr>
          <w:rFonts w:ascii="Times New Roman" w:hAnsi="Times New Roman" w:cs="Times New Roman"/>
          <w:lang w:val="tr-TR"/>
          <w:vertAlign w:val="subscript"/>
        </w:rPr>
        <w:t xml:space="preserve">ai</w:t>
      </w:r>
      <w:r>
        <w:rPr>
          <w:rFonts w:ascii="Times New Roman" w:hAnsi="Times New Roman" w:cs="Times New Roman"/>
          <w:lang w:val="tr-TR"/>
        </w:rPr>
        <w:t xml:space="preserve">) olarak adlandırılır. Ürünlerden aktifleşmiş komplekse kadar olan enerji farkı ise geri aktivasyon enerjisidir (E</w:t>
      </w:r>
      <w:r>
        <w:rPr>
          <w:rFonts w:ascii="Times New Roman" w:hAnsi="Times New Roman" w:cs="Times New Roman"/>
          <w:lang w:val="tr-TR"/>
          <w:vertAlign w:val="subscript"/>
        </w:rPr>
        <w:t xml:space="preserve">ag</w:t>
      </w:r>
      <w:r>
        <w:rPr>
          <w:rFonts w:ascii="Times New Roman" w:hAnsi="Times New Roman" w:cs="Times New Roman"/>
          <w:lang w:val="tr-TR"/>
        </w:rPr>
        <w:t xml:space="preserve">). Grafik B’deki enerji düzeyleri karşılaştırıldığında tepkime entalpisinin, ileri ve geri aktivasyon enerjileri arasındaki farka eşit olduğu sonucuna ulaşılabilir: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534400"/>
            <wp:docPr id="900001" name="Grafik 900001" descr="Endotermik ve ekzotermik tepkimelerde ileri ve geri aktivasyon enerjis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2534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Endotermik ve ekzotermik tepkimelere ait potansiyel enerji-tepkime koordinatı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Endotermik tepkimede</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Ekzotermik tepkimede</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ai</w:t>
            </w:r>
            <w:r>
              <w:rPr>
                <w:rFonts w:ascii="Times New Roman" w:hAnsi="Times New Roman" w:cs="Times New Roman"/>
                <w:lang w:val="tr-TR"/>
              </w:rPr>
              <w:t xml:space="preserve"> &gt; E</w:t>
            </w:r>
            <w:r>
              <w:rPr>
                <w:rFonts w:ascii="Times New Roman" w:hAnsi="Times New Roman" w:cs="Times New Roman"/>
                <w:vertAlign w:val="subscript"/>
                <w:lang w:val="tr-TR"/>
              </w:rPr>
              <w:t xml:space="preserve">ag</w:t>
            </w:r>
            <w:r>
              <w:rPr>
                <w:rFonts w:ascii="Times New Roman" w:hAnsi="Times New Roman" w:cs="Times New Roman"/>
                <w:lang w:val="tr-TR"/>
              </w:rPr>
              <w:t xml:space="preserve"> olduğundan ΔH &gt; 0’dır.</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ai</w:t>
            </w:r>
            <w:r>
              <w:rPr>
                <w:rFonts w:ascii="Times New Roman" w:hAnsi="Times New Roman" w:cs="Times New Roman"/>
                <w:lang w:val="tr-TR"/>
              </w:rPr>
              <w:t xml:space="preserve"> &lt; E</w:t>
            </w:r>
            <w:r>
              <w:rPr>
                <w:rFonts w:ascii="Times New Roman" w:hAnsi="Times New Roman" w:cs="Times New Roman"/>
                <w:vertAlign w:val="subscript"/>
                <w:lang w:val="tr-TR"/>
              </w:rPr>
              <w:t xml:space="preserve">ag</w:t>
            </w:r>
            <w:r>
              <w:rPr>
                <w:rFonts w:ascii="Times New Roman" w:hAnsi="Times New Roman" w:cs="Times New Roman"/>
                <w:lang w:val="tr-TR"/>
              </w:rPr>
              <w:t xml:space="preserve"> olduğundan ΔH &lt; 0’dır.</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ürünlerden daha kararlıdır (potansiyel enerjisi daha düşüktür).</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tepkenlerden daha kararlıdır.</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sürmesi için sürekli enerji verilmesi gerekir.</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başladıktan sonra açığa çıkan ısı, yeni taneciklerin aktivasyon enerjisini karşılayabilir.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Hem endotermik hem de ekzotermik tepkimelerin başlayabilmesi için aktivasyon enerjisine ihtiyaç vardır. Örneğin kâğıdın yanması ekzotermik bir tepkime olduğu hâlde kâğıt havadaki oksijenle temas ettiği sürece kendiliğinden tutuşmaz; tepkimenin başlaması için bir alevle aktivasyon enerjisinin sağlanması gerekir. Aynı sıcaklıkta aktivasyon enerjisi büyük olan tepkimeler genellikle daha yavaş gerçekleşir.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Belirli koşullarda 2HI(g)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ileri aktivasyon enerjisi 184 kJ, entalpi değişimi +9,4 kJ’dir. Buna göre geri aktivasyon enerjisini hesaplayınız. Tepken ve ürünlerden hangisinin daha kararlı olduğunu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9,4 = 184 −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174,6 kJ</w:t>
      </w:r>
    </w:p>
    <w:p>
      <w:pPr>
        <w:jc w:val="both"/>
        <w:rPr>
          <w:rFonts w:ascii="Times New Roman" w:hAnsi="Times New Roman" w:cs="Times New Roman"/>
          <w:lang w:val="tr-TR"/>
        </w:rPr>
      </w:pPr>
      <w:r>
        <w:rPr>
          <w:rFonts w:ascii="Times New Roman" w:hAnsi="Times New Roman" w:cs="Times New Roman"/>
          <w:lang w:val="tr-TR"/>
        </w:rPr>
        <w:t xml:space="preserve">ΔH &gt; 0 olduğu için tepkime endotermiktir; tepkenin (HI) potansiyel enerjisi ürünlerinkinden düşüktür, bu nedenle HI daha kararlıdır.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2. Tek basamakta gerçekleşen NO(g)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ileri aktivasyon enerjisi 10 kJ, entalpi değişimi −200 kJ’dir.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Tepkimenin geri aktivasyon enerjisini hesaplayınız.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Tepkimeye ait potansiyel enerji-tepkime koordinatı grafiğini çizerek E</w:t>
      </w:r>
      <w:r>
        <w:rPr>
          <w:rFonts w:ascii="Times New Roman" w:hAnsi="Times New Roman" w:cs="Times New Roman"/>
          <w:vertAlign w:val="subscript"/>
          <w:lang w:val="tr-TR"/>
        </w:rPr>
        <w:t xml:space="preserve">ai</w:t>
      </w:r>
      <w:r>
        <w:rPr>
          <w:rFonts w:ascii="Times New Roman" w:hAnsi="Times New Roman" w:cs="Times New Roman"/>
          <w:lang w:val="tr-TR"/>
        </w:rPr>
        <w:t xml:space="preserve">, E</w:t>
      </w:r>
      <w:r>
        <w:rPr>
          <w:rFonts w:ascii="Times New Roman" w:hAnsi="Times New Roman" w:cs="Times New Roman"/>
          <w:vertAlign w:val="subscript"/>
          <w:lang w:val="tr-TR"/>
        </w:rPr>
        <w:t xml:space="preserve">ag</w:t>
      </w:r>
      <w:r>
        <w:rPr>
          <w:rFonts w:ascii="Times New Roman" w:hAnsi="Times New Roman" w:cs="Times New Roman"/>
          <w:lang w:val="tr-TR"/>
        </w:rPr>
        <w:t xml:space="preserve"> ve ΔH’yi grafik üzerinde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−200 = 10 − E</w:t>
      </w:r>
      <w:r>
        <w:rPr>
          <w:rFonts w:ascii="Times New Roman" w:hAnsi="Times New Roman" w:cs="Times New Roman"/>
          <w:color w:val="FF0000"/>
          <w:vertAlign w:val="subscript"/>
          <w:lang w:val="tr-TR"/>
        </w:rPr>
        <w:t xml:space="preserve">ag</w:t>
      </w:r>
      <w:r>
        <w:rPr>
          <w:rFonts w:ascii="Times New Roman" w:hAnsi="Times New Roman" w:cs="Times New Roman"/>
          <w:color w:val="FF0000"/>
          <w:lang w:val="tr-TR"/>
        </w:rPr>
        <w:t xml:space="preserve"> ⇒ E</w:t>
      </w:r>
      <w:r>
        <w:rPr>
          <w:rFonts w:ascii="Times New Roman" w:hAnsi="Times New Roman" w:cs="Times New Roman"/>
          <w:color w:val="FF0000"/>
          <w:vertAlign w:val="subscript"/>
          <w:lang w:val="tr-TR"/>
        </w:rPr>
        <w:t xml:space="preserve">ag</w:t>
      </w:r>
      <w:r>
        <w:rPr>
          <w:rFonts w:ascii="Times New Roman" w:hAnsi="Times New Roman" w:cs="Times New Roman"/>
          <w:color w:val="FF0000"/>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3. Bir tepkimenin ileri aktivasyon enerjisi 35 kJ, geri aktivasyon enerjisi 90 kJ’dir. Tepkimenin entalpi değişimini bularak tepkimenin endotermik mi ekzotermik mi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Endotermik tepkimelerde ileri aktivasyon enerjisi geri aktivasyon enerjisinden büyüktür.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Ekzotermik tepkimelerin başlaması için enerji gerekmez.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Aktifleşmiş kompleks kararlı bir ara üründür.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Aynı sıcaklıkta aktivasyon enerjisi küçük olan tepkimeler genellikle daha hızlıdır.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