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2.1.4. Tepkime Oranı</w:t>
      </w:r>
    </w:p>
    <w:p>
      <w:pPr>
        <w:jc w:val="both"/>
        <w:rPr>
          <w:rFonts w:ascii="Times New Roman" w:hAnsi="Times New Roman" w:cs="Times New Roman"/>
          <w:lang w:val="tr-TR"/>
        </w:rPr>
      </w:pPr>
      <w:r>
        <w:rPr>
          <w:rFonts w:ascii="Times New Roman" w:hAnsi="Times New Roman" w:cs="Times New Roman"/>
          <w:lang w:val="tr-TR"/>
        </w:rPr>
        <w:t xml:space="preserve">Bir otoparka saatte giren ve çıkan araç sayısı eşitlendiğinde otoparktaki araç sayısı sabit kalır. Otoparkın boş olduğu bir anda ise girişler çıkışlardan fazla olur ve araç sayısı artar. Kimyasal tepkimelerde de bir tepkimenin herhangi bir andaki durumuna bakarak dengeye ulaşıp ulaşmadığını ve dengeye hangi yönde ilerleyeceğini anlayabilir miyiz?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Bariyerli giriş ve çıkış kapıları görülen bir otopark; girişte ve çıkışta birer araç.</w:t>
            </w:r>
          </w:p>
          <w:p>
            <w:pPr>
              <w:jc w:val="both"/>
              <w:rPr>
                <w:rFonts w:ascii="Times New Roman" w:hAnsi="Times New Roman" w:cs="Times New Roman"/>
                <w:lang w:val="tr-TR"/>
              </w:rPr>
            </w:pPr>
            <w:r>
              <w:rPr>
                <w:rFonts w:ascii="Times New Roman" w:hAnsi="Times New Roman" w:cs="Times New Roman"/>
                <w:lang w:val="tr-TR"/>
              </w:rPr>
              <w:t xml:space="preserve">Shutter ID: 2207804187 (fotoğraf) — Entry barrier to car parking lot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Giriş ve çıkış kapısı olan bir otopark</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Belirli bir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denge sabiti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0,20’dir. Aynı sıcaklıkta dört farklı kapta herhangi bir anda ölçülen derişimler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300"/>
        <w:gridCol w:w="2300"/>
        <w:gridCol w:w="35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4</w:t>
            </w:r>
            <w:r>
              <w:rPr>
                <w:rFonts w:ascii="Times New Roman" w:hAnsi="Times New Roman" w:cs="Times New Roman"/>
                <w:b/>
                <w:bCs/>
                <w:lang w:val="tr-TR"/>
              </w:rPr>
              <w:t xml:space="preserve">] (mol/L)</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Tahmininiz (dengede / ileri / geri)</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0,400</w:t>
            </w:r>
          </w:p>
        </w:tc>
        <w:tc>
          <w:tcPr>
            <w:tcW w:w="3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bir kaptaki tepkimenin dengeye ulaşıp ulaşmadığına ve dengede değilse hangi yönde ilerleyeceğine ilişkin önermeler oluşturarak tabloya yazınız. Önermelerinizi gerekçeleriyle birlikte arkadaşlarınızla saygılı bir tartışma ortamında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Önermelerinizden hangilerinin verilere, hangilerinin ön bilgilerinize (ör. “derişimleri eşit olan kap dengededir”) dayandığını belirleyerek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tepkimenin herhangi bir anda, denge sabiti ifadesiyle aynı şekilde yazılan derişim oranına </w:t>
            </w:r>
            <w:r>
              <w:rPr>
                <w:rFonts w:ascii="Times New Roman" w:hAnsi="Times New Roman" w:cs="Times New Roman"/>
                <w:b/>
                <w:bCs/>
                <w:lang w:val="tr-TR"/>
              </w:rPr>
              <w:t xml:space="preserve">tepkime oranı</w:t>
            </w:r>
            <w:r>
              <w:rPr>
                <w:rFonts w:ascii="Times New Roman" w:hAnsi="Times New Roman" w:cs="Times New Roman"/>
                <w:lang w:val="tr-TR"/>
              </w:rPr>
              <w:t xml:space="preserve"> (Q) denir. aA + bB ⇌ cC + dD tepkimesi için:</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Q = </w:t>
                </m:r>
                <m:f>
                  <m:num>
                    <m:sSup>
                      <m:e>
                        <m:r>
                          <m:rPr>
                            <m:sty m:val="p"/>
                          </m:rPr>
                          <w:rPr>
                            <w:rFonts w:ascii="Cambria Math" w:hAnsi="Cambria Math" w:cs="Cambria Math"/>
                            <w:lang w:val="tr-TR"/>
                          </w:rPr>
                          <w:t xml:space="preserve">[C]</w:t>
                        </m:r>
                      </m:e>
                      <m:sup>
                        <m:r>
                          <m:rPr>
                            <m:sty m:val="p"/>
                          </m:rPr>
                          <w:rPr>
                            <w:rFonts w:ascii="Cambria Math" w:hAnsi="Cambria Math" w:cs="Cambria Math"/>
                            <w:lang w:val="tr-TR"/>
                          </w:rPr>
                          <w:t xml:space="preserve">c</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[D]</w:t>
                        </m:r>
                      </m:e>
                      <m:sup>
                        <m:r>
                          <m:rPr>
                            <m:sty m:val="p"/>
                          </m:rPr>
                          <w:rPr>
                            <w:rFonts w:ascii="Cambria Math" w:hAnsi="Cambria Math" w:cs="Cambria Math"/>
                            <w:lang w:val="tr-TR"/>
                          </w:rPr>
                          <w:t xml:space="preserve">d</w:t>
                        </m:r>
                      </m:sup>
                    </m:sSup>
                  </m:num>
                  <m:den>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a</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[B]</w:t>
                        </m:r>
                      </m:e>
                      <m:sup>
                        <m:r>
                          <m:rPr>
                            <m:sty m:val="p"/>
                          </m:rPr>
                          <w:rPr>
                            <w:rFonts w:ascii="Cambria Math" w:hAnsi="Cambria Math" w:cs="Cambria Math"/>
                            <w:lang w:val="tr-TR"/>
                          </w:rPr>
                          <w:t xml:space="preserve">b</w:t>
                        </m:r>
                      </m:sup>
                    </m:sSup>
                  </m:den>
                </m:f>
              </m:oMath>
            </m:oMathPara>
          </w:p>
          <w:p>
            <w:pPr>
              <w:jc w:val="both"/>
              <w:rPr>
                <w:rFonts w:ascii="Times New Roman" w:hAnsi="Times New Roman" w:cs="Times New Roman"/>
                <w:lang w:val="tr-TR"/>
              </w:rPr>
            </w:pPr>
            <w:r>
              <w:rPr>
                <w:rFonts w:ascii="Times New Roman" w:hAnsi="Times New Roman" w:cs="Times New Roman"/>
                <w:lang w:val="tr-TR"/>
              </w:rPr>
              <w:t xml:space="preserve">Q’nun hesaplanmasında dengedeki değil, o andaki derişimler kullanılır.</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Her bir kap için tepkime oranını (Q) hesaplayınız ve K</w:t>
      </w:r>
      <w:r>
        <w:rPr>
          <w:rFonts w:ascii="Times New Roman" w:hAnsi="Times New Roman" w:cs="Times New Roman"/>
          <w:vertAlign w:val="subscript"/>
          <w:lang w:val="tr-TR"/>
        </w:rPr>
        <w:t xml:space="preserve">c</w:t>
      </w:r>
      <w:r>
        <w:rPr>
          <w:rFonts w:ascii="Times New Roman" w:hAnsi="Times New Roman" w:cs="Times New Roman"/>
          <w:lang w:val="tr-TR"/>
        </w:rPr>
        <w:t xml:space="preserve"> ile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Deneyler sonucunda kap 2’de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derişiminin arttığı, kap 3’te ise azaldığı, kap 1 ve kap 4’te derişimlerin değişmediği gözlenmiştir. Bu gözlemleri kullanarak Q ve K karşılaştırması ile tepkime yönü arasındaki ilişkiyi açıklayınız ve tahminlerinizin geçerliliğini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2.4.’te Q değerinin K</w:t>
      </w:r>
      <w:r>
        <w:rPr>
          <w:rFonts w:ascii="Times New Roman" w:hAnsi="Times New Roman" w:cs="Times New Roman"/>
          <w:lang w:val="tr-TR"/>
          <w:vertAlign w:val="subscript"/>
        </w:rPr>
        <w:t xml:space="preserve">c</w:t>
      </w:r>
      <w:r>
        <w:rPr>
          <w:rFonts w:ascii="Times New Roman" w:hAnsi="Times New Roman" w:cs="Times New Roman"/>
          <w:lang w:val="tr-TR"/>
        </w:rPr>
        <w:t xml:space="preserve">’den küçük olduğu kap 2’de NO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derişiminin arttığını, büyük olduğu kap 3’te ise azaldığını, Q = K</w:t>
      </w:r>
      <w:r>
        <w:rPr>
          <w:rFonts w:ascii="Times New Roman" w:hAnsi="Times New Roman" w:cs="Times New Roman"/>
          <w:lang w:val="tr-TR"/>
          <w:vertAlign w:val="subscript"/>
        </w:rPr>
        <w:t xml:space="preserve">c</w:t>
      </w:r>
      <w:r>
        <w:rPr>
          <w:rFonts w:ascii="Times New Roman" w:hAnsi="Times New Roman" w:cs="Times New Roman"/>
          <w:lang w:val="tr-TR"/>
        </w:rPr>
        <w:t xml:space="preserve"> olan kap 1 ve kap 4’te ise derişimlerin değişmediğini fark ettiniz. Bu bulgu, tersinir bir tepkimenin herhangi bir andaki durumunun tepkime oranı (Q) ile belirlenebileceğini gösterir. Derişimler kullanılarak hesaplanan tepkime oranı Q</w:t>
      </w:r>
      <w:r>
        <w:rPr>
          <w:rFonts w:ascii="Times New Roman" w:hAnsi="Times New Roman" w:cs="Times New Roman"/>
          <w:lang w:val="tr-TR"/>
          <w:vertAlign w:val="subscript"/>
        </w:rPr>
        <w:t xml:space="preserve">c</w:t>
      </w:r>
      <w:r>
        <w:rPr>
          <w:rFonts w:ascii="Times New Roman" w:hAnsi="Times New Roman" w:cs="Times New Roman"/>
          <w:lang w:val="tr-TR"/>
        </w:rPr>
        <w:t xml:space="preserve">, derişimler türünden denge sabiti ise K</w:t>
      </w:r>
      <w:r>
        <w:rPr>
          <w:rFonts w:ascii="Times New Roman" w:hAnsi="Times New Roman" w:cs="Times New Roman"/>
          <w:lang w:val="tr-TR"/>
          <w:vertAlign w:val="subscript"/>
        </w:rPr>
        <w:t xml:space="preserve">c</w:t>
      </w:r>
      <w:r>
        <w:rPr>
          <w:rFonts w:ascii="Times New Roman" w:hAnsi="Times New Roman" w:cs="Times New Roman"/>
          <w:lang w:val="tr-TR"/>
        </w:rPr>
        <w:t xml:space="preserve"> ile de gösterilir. Tepkime oranı, denge sabiti ifadesiyle aynı şekilde yazılır ancak o andaki derişimler kullanılarak hesaplanır. Q değeri denge sabiti (K) ile karşılaştırılarak tepkimenin dengede olup olmadığı ve dengede değilse hangi yönde ilerleyeceği tahmin edilebilir: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2900"/>
        <w:gridCol w:w="2500"/>
        <w:gridCol w:w="2200"/>
      </w:tblGrid>
      <w:tr>
        <w:tc>
          <w:tcPr>
            <w:tcW w:w="1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Karşılaştırma</w:t>
            </w:r>
          </w:p>
        </w:tc>
        <w:tc>
          <w:tcPr>
            <w:tcW w:w="2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Anlamı</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Tepkimenin yönü</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Hızlar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Q = K</w:t>
            </w:r>
          </w:p>
        </w:tc>
        <w:tc>
          <w:tcPr>
            <w:tcW w:w="2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Sistem dengededir.</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Net değişim olmaz.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İleri hız = geri hız</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Q &lt; K</w:t>
            </w:r>
          </w:p>
        </w:tc>
        <w:tc>
          <w:tcPr>
            <w:tcW w:w="2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Ürün derişimleri dengedekinden düşük, tepken derişimleri yüksektir.</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Dengeye ulaşmak için ileri (ürünler) yönde ilerler.</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İleri hız &gt; geri hız; dengeye kadar ileri hız azalır, geri hız artar.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Q &gt; K</w:t>
            </w:r>
          </w:p>
        </w:tc>
        <w:tc>
          <w:tcPr>
            <w:tcW w:w="2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Ürün derişimleri dengedekinden yüksek, tepken derişimleri düşüktür.</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Dengeye ulaşmak için geri (tepkenler) yönde ilerler.</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Geri hız &gt; ileri hız; dengeye kadar geri hız azalır, ileri hız artar.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Analiz ve Keşif Atölyesi 2.4.’te kap 4’teki derişimler kap 1’dekilerden farklı olduğu hâlde Q = K olduğu için kap 4 de dengededir. Bu durum, dengede tepken ve ürün derişimlerinin belirli değerlere sahip olması gerekmediğini; aynı sıcaklıkta sonsuz sayıda farklı denge derişimi bileşiminin bulunabileceğini, ancak bu derişimlerin hepsinin aynı K değerini sağlaması gerektiğini gösterir.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2.5.</w:t>
      </w:r>
    </w:p>
    <w:p>
      <w:pPr>
        <w:jc w:val="both"/>
        <w:rPr>
          <w:rFonts w:ascii="Times New Roman" w:hAnsi="Times New Roman" w:cs="Times New Roman"/>
          <w:lang w:val="tr-TR"/>
        </w:rPr>
      </w:pPr>
      <w:r>
        <w:rPr>
          <w:rFonts w:ascii="Times New Roman" w:hAnsi="Times New Roman" w:cs="Times New Roman"/>
          <w:lang w:val="tr-TR"/>
        </w:rPr>
        <w:t xml:space="preserve">Belirli bir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tepkimesi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0,50’dir. Aynı sıcaklıkta 1 litrelik bir kapta 1,0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 2,0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2,0 mol NH</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 Sistem dengede midir? Dengede değilse tepkime hangi yönde ilerler?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Q = </w:t>
          </m:r>
          <m:f>
            <m:num>
              <m:sSup>
                <m:e>
                  <m:r>
                    <m:rPr>
                      <m:sty m:val="p"/>
                    </m:rPr>
                    <w:rPr>
                      <w:rFonts w:ascii="Cambria Math" w:hAnsi="Cambria Math" w:cs="Cambria Math"/>
                      <w:lang w:val="tr-TR"/>
                    </w:rPr>
                    <w:t xml:space="preserve">[NH₃]</w:t>
                  </m:r>
                </m:e>
                <m:sup>
                  <m:r>
                    <m:rPr>
                      <m:sty m:val="p"/>
                    </m:rPr>
                    <w:rPr>
                      <w:rFonts w:ascii="Cambria Math" w:hAnsi="Cambria Math" w:cs="Cambria Math"/>
                      <w:lang w:val="tr-TR"/>
                    </w:rPr>
                    <w:t xml:space="preserve">2</w:t>
                  </m:r>
                </m:sup>
              </m:sSup>
            </m:num>
            <m:den>
              <m:r>
                <m:rPr>
                  <m:sty m:val="p"/>
                </m:rPr>
                <w:rPr>
                  <w:rFonts w:ascii="Cambria Math" w:hAnsi="Cambria Math" w:cs="Cambria Math"/>
                  <w:lang w:val="tr-TR"/>
                </w:rPr>
                <w:t xml:space="preserve">[N₂]·</w:t>
              </m:r>
              <m:sSup>
                <m:e>
                  <m:r>
                    <m:rPr>
                      <m:sty m:val="p"/>
                    </m:rPr>
                    <w:rPr>
                      <w:rFonts w:ascii="Cambria Math" w:hAnsi="Cambria Math" w:cs="Cambria Math"/>
                      <w:lang w:val="tr-TR"/>
                    </w:rPr>
                    <w:t xml:space="preserve">[H₂]</w:t>
                  </m:r>
                </m:e>
                <m:sup>
                  <m:r>
                    <m:rPr>
                      <m:sty m:val="p"/>
                    </m:rPr>
                    <w:rPr>
                      <w:rFonts w:ascii="Cambria Math" w:hAnsi="Cambria Math" w:cs="Cambria Math"/>
                      <w:lang w:val="tr-TR"/>
                    </w:rPr>
                    <w:t xml:space="preserve">3</w:t>
                  </m:r>
                </m:sup>
              </m:sSup>
            </m:den>
          </m:f>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(2,0)</w:t>
                  </m:r>
                </m:e>
                <m:sup>
                  <m:r>
                    <m:rPr>
                      <m:sty m:val="p"/>
                    </m:rPr>
                    <w:rPr>
                      <w:rFonts w:ascii="Cambria Math" w:hAnsi="Cambria Math" w:cs="Cambria Math"/>
                      <w:lang w:val="tr-TR"/>
                    </w:rPr>
                    <w:t xml:space="preserve">2</w:t>
                  </m:r>
                </m:sup>
              </m:sSup>
            </m:num>
            <m:den>
              <m:r>
                <m:rPr>
                  <m:sty m:val="p"/>
                </m:rPr>
                <w:rPr>
                  <w:rFonts w:ascii="Cambria Math" w:hAnsi="Cambria Math" w:cs="Cambria Math"/>
                  <w:lang w:val="tr-TR"/>
                </w:rPr>
                <w:t xml:space="preserve">(1,0)·</w:t>
              </m:r>
              <m:sSup>
                <m:e>
                  <m:r>
                    <m:rPr>
                      <m:sty m:val="p"/>
                    </m:rPr>
                    <w:rPr>
                      <w:rFonts w:ascii="Cambria Math" w:hAnsi="Cambria Math" w:cs="Cambria Math"/>
                      <w:lang w:val="tr-TR"/>
                    </w:rPr>
                    <w:t xml:space="preserve">(2,0)</w:t>
                  </m:r>
                </m:e>
                <m:sup>
                  <m:r>
                    <m:rPr>
                      <m:sty m:val="p"/>
                    </m:rPr>
                    <w:rPr>
                      <w:rFonts w:ascii="Cambria Math" w:hAnsi="Cambria Math" w:cs="Cambria Math"/>
                      <w:lang w:val="tr-TR"/>
                    </w:rPr>
                    <w:t xml:space="preserve">3</w:t>
                  </m:r>
                </m:sup>
              </m:sSup>
            </m:den>
          </m:f>
          <m:r>
            <m:rPr>
              <m:sty m:val="p"/>
            </m:rPr>
            <w:rPr>
              <w:rFonts w:ascii="Cambria Math" w:hAnsi="Cambria Math" w:cs="Cambria Math"/>
              <w:lang w:val="tr-TR"/>
            </w:rPr>
            <w:t xml:space="preserve"> = </w:t>
          </m:r>
          <m:f>
            <m:num>
              <m:r>
                <m:rPr>
                  <m:sty m:val="p"/>
                </m:rPr>
                <w:rPr>
                  <w:rFonts w:ascii="Cambria Math" w:hAnsi="Cambria Math" w:cs="Cambria Math"/>
                  <w:lang w:val="tr-TR"/>
                </w:rPr>
                <w:t xml:space="preserve">4,0</w:t>
              </m:r>
            </m:num>
            <m:den>
              <m:r>
                <m:rPr>
                  <m:sty m:val="p"/>
                </m:rPr>
                <w:rPr>
                  <w:rFonts w:ascii="Cambria Math" w:hAnsi="Cambria Math" w:cs="Cambria Math"/>
                  <w:lang w:val="tr-TR"/>
                </w:rPr>
                <w:t xml:space="preserve">8,0</w:t>
              </m:r>
            </m:den>
          </m:f>
          <m:r>
            <m:rPr>
              <m:sty m:val="p"/>
            </m:rPr>
            <w:rPr>
              <w:rFonts w:ascii="Cambria Math" w:hAnsi="Cambria Math" w:cs="Cambria Math"/>
              <w:lang w:val="tr-TR"/>
            </w:rPr>
            <w:t xml:space="preserve"> = 0,50</w:t>
          </m:r>
        </m:oMath>
      </m:oMathPara>
    </w:p>
    <w:p>
      <w:pPr>
        <w:jc w:val="both"/>
        <w:rPr>
          <w:rFonts w:ascii="Times New Roman" w:hAnsi="Times New Roman" w:cs="Times New Roman"/>
          <w:lang w:val="tr-TR"/>
        </w:rPr>
      </w:pPr>
      <w:r>
        <w:rPr>
          <w:rFonts w:ascii="Times New Roman" w:hAnsi="Times New Roman" w:cs="Times New Roman"/>
          <w:lang w:val="tr-TR"/>
        </w:rPr>
        <w:t xml:space="preserve">Q = K olduğundan sistem dengededir; derişimlerde net bir değişim olmaz.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2.6.</w:t>
      </w:r>
    </w:p>
    <w:p>
      <w:pPr>
        <w:jc w:val="both"/>
        <w:rPr>
          <w:rFonts w:ascii="Times New Roman" w:hAnsi="Times New Roman" w:cs="Times New Roman"/>
          <w:lang w:val="tr-TR"/>
        </w:rPr>
      </w:pPr>
      <w:r>
        <w:rPr>
          <w:rFonts w:ascii="Times New Roman" w:hAnsi="Times New Roman" w:cs="Times New Roman"/>
          <w:lang w:val="tr-TR"/>
        </w:rPr>
        <w:t xml:space="preserve">Aynı tepkime ve sıcaklıkta 1 litrelik başka bir kapta 2,0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 1,0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2,0 mol NH</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 Tepkime hangi yönde ilerler?</w:t>
      </w:r>
    </w:p>
    <w:p>
      <w:pPr>
        <w:jc w:val="both"/>
        <w:rPr>
          <w:rFonts w:ascii="Times New Roman" w:hAnsi="Times New Roman" w:cs="Times New Roman"/>
          <w:lang w:val="tr-TR"/>
        </w:rPr>
      </w:pPr>
      <w:r>
        <w:rPr>
          <w:rFonts w:ascii="Times New Roman" w:hAnsi="Times New Roman" w:cs="Times New Roman"/>
          <w:b/>
          <w:bCs/>
          <w:lang w:val="tr-TR"/>
        </w:rPr>
        <w:t xml:space="preserve">Çözüm:</w:t>
      </w:r>
      <w:r>
        <w:rPr>
          <w:rFonts w:ascii="Times New Roman" w:hAnsi="Times New Roman" w:cs="Times New Roman"/>
          <w:lang w:val="tr-TR"/>
        </w:rPr>
        <w:t xml:space="preserve"> Q = (2,0)</w:t>
      </w:r>
      <w:r>
        <w:rPr>
          <w:rFonts w:ascii="Times New Roman" w:hAnsi="Times New Roman" w:cs="Times New Roman"/>
          <w:vertAlign w:val="superscript"/>
          <w:lang w:val="tr-TR"/>
        </w:rPr>
        <w:t xml:space="preserve">2</w:t>
      </w:r>
      <w:r>
        <w:rPr>
          <w:rFonts w:ascii="Times New Roman" w:hAnsi="Times New Roman" w:cs="Times New Roman"/>
          <w:lang w:val="tr-TR"/>
        </w:rPr>
        <w:t xml:space="preserve"> /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2,0. Q &gt; K olduğundan tepkime dengeye ulaşmak için geri yönde ilerler; NH</w:t>
      </w:r>
      <w:r>
        <w:rPr>
          <w:rFonts w:ascii="Times New Roman" w:hAnsi="Times New Roman" w:cs="Times New Roman"/>
          <w:vertAlign w:val="subscript"/>
          <w:lang w:val="tr-TR"/>
        </w:rPr>
        <w:t xml:space="preserve">3</w:t>
      </w:r>
      <w:r>
        <w:rPr>
          <w:rFonts w:ascii="Times New Roman" w:hAnsi="Times New Roman" w:cs="Times New Roman"/>
          <w:lang w:val="tr-TR"/>
        </w:rPr>
        <w:t xml:space="preserve"> derişimi azalır, N</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derişimleri artar.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lang w:val="tr-TR"/>
        </w:rPr>
        <w:t xml:space="preserve">Aşağıda verilen tepkimelerde sistemin dengede olup olmadığını belirleyiniz; dengede değilse tepkimenin hangi yönde ilerleyeceğini bulunuz.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50’dir. 1 L’lik kapta 0,10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 I</w:t>
      </w:r>
      <w:r>
        <w:rPr>
          <w:rFonts w:ascii="Times New Roman" w:hAnsi="Times New Roman" w:cs="Times New Roman"/>
          <w:vertAlign w:val="subscript"/>
          <w:lang w:val="tr-TR"/>
        </w:rPr>
        <w:t xml:space="preserve">2</w:t>
      </w:r>
      <w:r>
        <w:rPr>
          <w:rFonts w:ascii="Times New Roman" w:hAnsi="Times New Roman" w:cs="Times New Roman"/>
          <w:lang w:val="tr-TR"/>
        </w:rPr>
        <w:t xml:space="preserve"> ve 0,50 mol HI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40’tır. 2 L’lik kapta 0,40 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0,40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1,6 mol SO</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0,010’dur. Bir kapta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ve CaO katılarıyla birlikte [CO</w:t>
      </w:r>
      <w:r>
        <w:rPr>
          <w:rFonts w:ascii="Times New Roman" w:hAnsi="Times New Roman" w:cs="Times New Roman"/>
          <w:vertAlign w:val="subscript"/>
          <w:lang w:val="tr-TR"/>
        </w:rPr>
        <w:t xml:space="preserve">2</w:t>
      </w:r>
      <w:r>
        <w:rPr>
          <w:rFonts w:ascii="Times New Roman" w:hAnsi="Times New Roman" w:cs="Times New Roman"/>
          <w:lang w:val="tr-TR"/>
        </w:rPr>
        <w:t xml:space="preserve">] = 0,0050 mol/L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0,10’dur. 1 L’lik kapta 0,50 mol PCl</w:t>
      </w:r>
      <w:r>
        <w:rPr>
          <w:rFonts w:ascii="Times New Roman" w:hAnsi="Times New Roman" w:cs="Times New Roman"/>
          <w:vertAlign w:val="subscript"/>
          <w:lang w:val="tr-TR"/>
        </w:rPr>
        <w:t xml:space="preserve">5</w:t>
      </w:r>
      <w:r>
        <w:rPr>
          <w:rFonts w:ascii="Times New Roman" w:hAnsi="Times New Roman" w:cs="Times New Roman"/>
          <w:lang w:val="tr-TR"/>
        </w:rPr>
        <w:t xml:space="preserve">, 0,20 mol PCl</w:t>
      </w:r>
      <w:r>
        <w:rPr>
          <w:rFonts w:ascii="Times New Roman" w:hAnsi="Times New Roman" w:cs="Times New Roman"/>
          <w:vertAlign w:val="subscript"/>
          <w:lang w:val="tr-TR"/>
        </w:rPr>
        <w:t xml:space="preserve">3</w:t>
      </w:r>
      <w:r>
        <w:rPr>
          <w:rFonts w:ascii="Times New Roman" w:hAnsi="Times New Roman" w:cs="Times New Roman"/>
          <w:lang w:val="tr-TR"/>
        </w:rPr>
        <w:t xml:space="preserve"> ve 0,25 mol Cl</w:t>
      </w:r>
      <w:r>
        <w:rPr>
          <w:rFonts w:ascii="Times New Roman" w:hAnsi="Times New Roman" w:cs="Times New Roman"/>
          <w:vertAlign w:val="subscript"/>
          <w:lang w:val="tr-TR"/>
        </w:rPr>
        <w:t xml:space="preserve">2</w:t>
      </w:r>
      <w:r>
        <w:rPr>
          <w:rFonts w:ascii="Times New Roman" w:hAnsi="Times New Roman" w:cs="Times New Roman"/>
          <w:lang w:val="tr-TR"/>
        </w:rPr>
        <w:t xml:space="preserve">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Farklı derişimler için tepkimenin dengede olup olmadığını ve ilerleme yönünü belirleyebileceğiniz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