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jc w:val="both"/>
        <w:rPr>
          <w:rFonts w:ascii="Times New Roman" w:hAnsi="Times New Roman" w:cs="Times New Roman"/>
          <w:b/>
          <w:bCs/>
          <w:lang w:val="tr-TR"/>
        </w:rPr>
      </w:pPr>
      <w:r>
        <w:rPr>
          <w:rFonts w:ascii="Times New Roman" w:hAnsi="Times New Roman" w:cs="Times New Roman"/>
          <w:b/>
          <w:bCs/>
          <w:lang w:val="tr-TR"/>
        </w:rPr>
        <w:t xml:space="preserve">2.2.6. Kuvvetli Asit-Kuvvetli Baz Titrasyonları</w:t>
      </w:r>
    </w:p>
    <w:p>
      <w:pPr>
        <w:jc w:val="both"/>
        <w:rPr>
          <w:rFonts w:ascii="Times New Roman" w:hAnsi="Times New Roman" w:cs="Times New Roman"/>
          <w:lang w:val="tr-TR"/>
        </w:rPr>
      </w:pPr>
      <w:r>
        <w:rPr>
          <w:rFonts w:ascii="Times New Roman" w:hAnsi="Times New Roman" w:cs="Times New Roman"/>
          <w:lang w:val="tr-TR"/>
        </w:rPr>
        <w:t xml:space="preserve">Bir kalite kontrol laboratuvarında çalışan kimyager, bir temizlik ürününün etiketinde yazan derişim değerinin doğru olup olmadığını kontrol etmek ister. Ürünün içindeki asit ya da bazın derişimini belirlemek için derişimi tam olarak bilinen bir çözeltiyi büretten damla damla ekler ve çözeltinin rengi değiştiği anda eklemeyi durdurur (Görsel A). Peki elimizdeki bir asit ya da baz çözeltisinin derişimini bilmiyorsak bunu nasıl bulabiliriz? Bunun için hangi araç gereçlere ve hesaplamalara ihtiyaç vardır? Bir etkinlik yaparak keşfediniz.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Bürete bağlı musluktan erlenmayerdeki çözeltiye damla damla sıvı eklenirken çözeltinin açık pembe renge döndüğü an; önlük ve eldivenli eller.</w:t>
            </w:r>
          </w:p>
          <w:p>
            <w:pPr>
              <w:jc w:val="both"/>
              <w:rPr>
                <w:rFonts w:ascii="Times New Roman" w:hAnsi="Times New Roman" w:cs="Times New Roman"/>
                <w:lang w:val="tr-TR"/>
              </w:rPr>
            </w:pPr>
            <w:r>
              <w:rPr>
                <w:rFonts w:ascii="Times New Roman" w:hAnsi="Times New Roman" w:cs="Times New Roman"/>
                <w:lang w:val="tr-TR"/>
              </w:rPr>
              <w:t xml:space="preserve">Shutter ID: 663997309 (fotoğraf) — Acid-base titration, burette and Erlenmeyer flask with pink solution</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A:</w:t>
      </w:r>
      <w:r>
        <w:rPr>
          <w:rFonts w:ascii="Times New Roman" w:hAnsi="Times New Roman" w:cs="Times New Roman"/>
          <w:lang w:val="tr-TR"/>
        </w:rPr>
        <w:t xml:space="preserve"> Laboratuvarda titrasyon yapılması</w:t>
      </w:r>
    </w:p>
    <w:p>
      <w:pPr>
        <w:jc w:val="both"/>
        <w:rPr>
          <w:rFonts w:ascii="Times New Roman" w:hAnsi="Times New Roman" w:cs="Times New Roman"/>
          <w:lang w:val="tr-TR"/>
        </w:rPr>
      </w:pPr>
      <w:r>
        <w:rPr>
          <w:rFonts w:ascii="Times New Roman" w:hAnsi="Times New Roman" w:cs="Times New Roman"/>
          <w:lang w:val="tr-TR"/>
        </w:rPr>
        <w:t xml:space="preserve">Çalışmaya başlamadan önce karekodda yer alan “Ön Bilgi ve Hedef Belirleme Formu”nu doldurunuz. Bu formda konu ile ilgili ön bilgilerinizi, deney sürecinde neyi öğrenmeyi beklediğinizi, hangi stratejileri kullanacağınızı ve bu süreçte neler hissedebileceğinizi belirtiniz.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1"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Ön Bilgi ve Hedef Belirleme Formu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Ön Bilgi ve Hedef Belirleme Formu</w:t>
                      </w:r>
                    </w:p>
                  </w:txbxContent>
                </v:textbox>
              </v:rect>
            </w:pict>
          </mc:Fallback>
        </mc:AlternateContent>
      </w:r>
    </w:p>
    <w:p>
      <w:pPr>
        <w:jc w:val="both"/>
        <w:rPr>
          <w:rFonts w:ascii="Times New Roman" w:hAnsi="Times New Roman" w:cs="Times New Roman"/>
          <w:lang w:val="tr-TR"/>
        </w:rPr>
      </w:pPr>
    </w:p>
    <w:p>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t xml:space="preserve">Analiz ve Keşif Atölyesi 2.11.</w:t>
      </w:r>
    </w:p>
    <w:p>
      <w:pPr>
        <w:jc w:val="both"/>
        <w:rPr>
          <w:rFonts w:ascii="Times New Roman" w:hAnsi="Times New Roman" w:cs="Times New Roman"/>
          <w:lang w:val="tr-TR"/>
        </w:rPr>
      </w:pPr>
      <w:r>
        <w:rPr>
          <w:rFonts w:ascii="Times New Roman" w:hAnsi="Times New Roman" w:cs="Times New Roman"/>
          <w:highlight w:val="yellow"/>
          <w:lang w:val="tr-TR"/>
        </w:rPr>
        <w:t xml:space="preserve">Güvenlik uyarıları</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Güvenlik uyarıları Kimya9/10 kitabından alınsın; önlük, gözlük, eldiven ve “aşındırıcı madde” uyarısı eklensin. Pipetle ağızla sıvı çekilmemesi uyarısı da eklensin.</w:t>
      </w:r>
    </w:p>
    <w:p>
      <w:pPr>
        <w:jc w:val="both"/>
        <w:rPr>
          <w:rFonts w:ascii="Times New Roman" w:hAnsi="Times New Roman" w:cs="Times New Roman"/>
          <w:lang w:val="tr-TR"/>
        </w:rPr>
      </w:pPr>
      <w:r>
        <w:rPr>
          <w:rFonts w:ascii="Times New Roman" w:hAnsi="Times New Roman" w:cs="Times New Roman"/>
          <w:b/>
          <w:bCs/>
          <w:lang w:val="tr-TR"/>
        </w:rPr>
        <w:t xml:space="preserve">1. Aşama: Deneyin Planlanması</w:t>
      </w:r>
    </w:p>
    <w:p>
      <w:pPr>
        <w:jc w:val="both"/>
        <w:rPr>
          <w:rFonts w:ascii="Times New Roman" w:hAnsi="Times New Roman" w:cs="Times New Roman"/>
          <w:lang w:val="tr-TR"/>
        </w:rPr>
      </w:pPr>
      <w:r>
        <w:rPr>
          <w:rFonts w:ascii="Times New Roman" w:hAnsi="Times New Roman" w:cs="Times New Roman"/>
          <w:lang w:val="tr-TR"/>
        </w:rPr>
        <w:t xml:space="preserve">Öğretmeniniz size derişimi 0,100 M olan bir NaOH çözeltisi ve derişimi bilinmeyen bir HCl çözeltisi verecektir. Derişimi bilinmeyen çözeltinin derişimini nasıl belirleyebileceğinizi grup arkadaşlarınızla tartışınız. Tartışma sırasında çeşitli fikir ve yeni bilgilere açık olunuz, olayı farklı bakış açılarıyla değerlendiriniz ve arkadaşlarınızla etkili iletişim kurunuz.</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Derişimi bilinmeyen HCl çözeltisinin derişimini belirlemek için hangi bilgilere ihtiyacınız vardır?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Asidin tamamen nötralleştiği anı nasıl anlayabilirsiniz? Hangi indikatörü kullanmayı düşünürsünüz? Neden?</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Grubunuzla açık ve ulaşılabilir hedefler belirleyerek deneyinizi planlayınız. Görev paylaşımı yapınız, zamanı etkili bir şekilde yönetiniz ve ortak hedefe ulaşmak için arkadaşlarınızla dayanışma içinde olunuz.</w:t>
      </w:r>
    </w:p>
    <w:p>
      <w:pPr>
        <w:jc w:val="both"/>
        <w:rPr>
          <w:rFonts w:ascii="Times New Roman" w:hAnsi="Times New Roman" w:cs="Times New Roman"/>
          <w:lang w:val="tr-TR"/>
        </w:rPr>
      </w:pPr>
      <w:r>
        <w:rPr>
          <w:rFonts w:ascii="Times New Roman" w:hAnsi="Times New Roman" w:cs="Times New Roman"/>
          <w:b/>
          <w:bCs/>
          <w:lang w:val="tr-TR"/>
        </w:rPr>
        <w:t xml:space="preserve">Deneyin Adı:</w:t>
      </w:r>
      <w:r>
        <w:rPr>
          <w:rFonts w:ascii="Times New Roman" w:hAnsi="Times New Roman" w:cs="Times New Roman"/>
          <w:lang w:val="tr-TR"/>
        </w:rPr>
        <w:t xml:space="preserve"> ……………………………………………………………………………</w:t>
      </w:r>
    </w:p>
    <w:p>
      <w:pPr>
        <w:jc w:val="both"/>
        <w:rPr>
          <w:rFonts w:ascii="Times New Roman" w:hAnsi="Times New Roman" w:cs="Times New Roman"/>
          <w:lang w:val="tr-TR"/>
        </w:rPr>
      </w:pPr>
      <w:r>
        <w:rPr>
          <w:rFonts w:ascii="Times New Roman" w:hAnsi="Times New Roman" w:cs="Times New Roman"/>
          <w:b/>
          <w:bCs/>
          <w:lang w:val="tr-TR"/>
        </w:rPr>
        <w:t xml:space="preserve">Amaç:</w:t>
      </w:r>
      <w:r>
        <w:rPr>
          <w:rFonts w:ascii="Times New Roman" w:hAnsi="Times New Roman" w:cs="Times New Roman"/>
          <w:lang w:val="tr-TR"/>
        </w:rPr>
        <w:t xml:space="preserve"> ……………………………………………………………………………………</w:t>
      </w:r>
    </w:p>
    <w:p>
      <w:pPr>
        <w:jc w:val="both"/>
        <w:rPr>
          <w:rFonts w:ascii="Times New Roman" w:hAnsi="Times New Roman" w:cs="Times New Roman"/>
          <w:lang w:val="tr-TR"/>
        </w:rPr>
      </w:pPr>
      <w:r>
        <w:rPr>
          <w:rFonts w:ascii="Times New Roman" w:hAnsi="Times New Roman" w:cs="Times New Roman"/>
          <w:b/>
          <w:bCs/>
          <w:lang w:val="tr-TR"/>
        </w:rPr>
        <w:t xml:space="preserve">Gerekli Malzemeler:</w:t>
      </w:r>
    </w:p>
    <w:p>
      <w:pPr>
        <w:ind w:left="0"/>
        <w:jc w:val="both"/>
        <w:rPr>
          <w:rFonts w:ascii="Times New Roman" w:hAnsi="Times New Roman" w:cs="Times New Roman"/>
          <w:lang w:val="tr-TR"/>
        </w:rPr>
      </w:pPr>
      <w:r>
        <w:rPr>
          <w:rFonts w:ascii="Times New Roman" w:hAnsi="Times New Roman" w:cs="Times New Roman"/>
          <w:lang w:val="tr-TR"/>
        </w:rPr>
        <w:t xml:space="preserve">……………………………………………………………………………………………………</w:t>
      </w:r>
    </w:p>
    <w:p>
      <w:pPr>
        <w:ind w:left="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Deneyin Yapılışı:</w:t>
      </w:r>
    </w:p>
    <w:p>
      <w:pPr>
        <w:ind w:left="0"/>
        <w:jc w:val="both"/>
        <w:rPr>
          <w:rFonts w:ascii="Times New Roman" w:hAnsi="Times New Roman" w:cs="Times New Roman"/>
          <w:lang w:val="tr-TR"/>
        </w:rPr>
      </w:pPr>
      <w:r>
        <w:rPr>
          <w:rFonts w:ascii="Times New Roman" w:hAnsi="Times New Roman" w:cs="Times New Roman"/>
          <w:lang w:val="tr-TR"/>
        </w:rPr>
        <w:t xml:space="preserve">……………………………………………………………………………………………………</w:t>
      </w:r>
    </w:p>
    <w:p>
      <w:pPr>
        <w:ind w:left="0"/>
        <w:jc w:val="both"/>
        <w:rPr>
          <w:rFonts w:ascii="Times New Roman" w:hAnsi="Times New Roman" w:cs="Times New Roman"/>
          <w:lang w:val="tr-TR"/>
        </w:rPr>
      </w:pPr>
      <w:r>
        <w:rPr>
          <w:rFonts w:ascii="Times New Roman" w:hAnsi="Times New Roman" w:cs="Times New Roman"/>
          <w:lang w:val="tr-TR"/>
        </w:rPr>
        <w:t xml:space="preserve">……………………………………………………………………………………………………</w:t>
      </w:r>
    </w:p>
    <w:p>
      <w:pPr>
        <w:ind w:left="0"/>
        <w:jc w:val="both"/>
        <w:rPr>
          <w:rFonts w:ascii="Times New Roman" w:hAnsi="Times New Roman" w:cs="Times New Roman"/>
          <w:lang w:val="tr-TR"/>
        </w:rPr>
      </w:pPr>
      <w:r>
        <w:rPr>
          <w:rFonts w:ascii="Times New Roman" w:hAnsi="Times New Roman" w:cs="Times New Roman"/>
          <w:lang w:val="tr-TR"/>
        </w:rPr>
        <w:t xml:space="preserve">……………………………………………………………………………………………………</w:t>
      </w:r>
    </w:p>
    <w:p>
      <w:pPr>
        <w:ind w:left="0"/>
        <w:jc w:val="both"/>
        <w:rPr>
          <w:rFonts w:ascii="Times New Roman" w:hAnsi="Times New Roman" w:cs="Times New Roman"/>
          <w:lang w:val="tr-TR"/>
        </w:rPr>
      </w:pPr>
      <w:r>
        <w:rPr>
          <w:rFonts w:ascii="Times New Roman" w:hAnsi="Times New Roman" w:cs="Times New Roman"/>
          <w:lang w:val="tr-TR"/>
        </w:rPr>
        <w:t xml:space="preserve">……………………………………………………………………………………………………</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2EFDA"/>
          </w:tcPr>
          <w:p>
            <w:pPr>
              <w:jc w:val="both"/>
              <w:rPr>
                <w:rFonts w:ascii="Times New Roman" w:hAnsi="Times New Roman" w:cs="Times New Roman"/>
                <w:lang w:val="tr-TR"/>
              </w:rPr>
            </w:pPr>
            <w:r>
              <w:rPr>
                <w:rFonts w:ascii="Times New Roman" w:hAnsi="Times New Roman" w:cs="Times New Roman"/>
                <w:b/>
                <w:bCs/>
                <w:lang w:val="tr-TR"/>
              </w:rPr>
              <w:t xml:space="preserve">Deney önerisi</w:t>
            </w:r>
          </w:p>
          <w:p>
            <w:pPr>
              <w:jc w:val="both"/>
              <w:rPr>
                <w:rFonts w:ascii="Times New Roman" w:hAnsi="Times New Roman" w:cs="Times New Roman"/>
                <w:lang w:val="tr-TR"/>
              </w:rPr>
            </w:pPr>
            <w:r>
              <w:rPr>
                <w:rFonts w:ascii="Times New Roman" w:hAnsi="Times New Roman" w:cs="Times New Roman"/>
                <w:lang w:val="tr-TR"/>
              </w:rPr>
              <w:t xml:space="preserve">• Bir erlenmayere dereceli pipetle 20,0 mL derişimi bilinmeyen HCl çözeltisi koyunuz ve 2-3 damla fenolftalein ekleyiniz.</w:t>
            </w:r>
          </w:p>
          <w:p>
            <w:pPr>
              <w:jc w:val="both"/>
              <w:rPr>
                <w:rFonts w:ascii="Times New Roman" w:hAnsi="Times New Roman" w:cs="Times New Roman"/>
                <w:lang w:val="tr-TR"/>
              </w:rPr>
            </w:pPr>
            <w:r>
              <w:rPr>
                <w:rFonts w:ascii="Times New Roman" w:hAnsi="Times New Roman" w:cs="Times New Roman"/>
                <w:lang w:val="tr-TR"/>
              </w:rPr>
              <w:t xml:space="preserve">• Bir büreti 0,100 M NaOH çözeltisi ile doldurunuz, başlangıç hacmini kaydediniz.</w:t>
            </w:r>
          </w:p>
          <w:p>
            <w:pPr>
              <w:jc w:val="both"/>
              <w:rPr>
                <w:rFonts w:ascii="Times New Roman" w:hAnsi="Times New Roman" w:cs="Times New Roman"/>
                <w:lang w:val="tr-TR"/>
              </w:rPr>
            </w:pPr>
            <w:r>
              <w:rPr>
                <w:rFonts w:ascii="Times New Roman" w:hAnsi="Times New Roman" w:cs="Times New Roman"/>
                <w:lang w:val="tr-TR"/>
              </w:rPr>
              <w:t xml:space="preserve">• Erlenmayeri sürekli çalkalayarak büretten NaOH çözeltisini damla damla ekleyiniz. Çözeltide en az 30 saniye kalıcı olan açık pembe renk oluştuğunda eklemeyi durdurunuz ve büretteki son hacmi kaydediniz.</w:t>
            </w:r>
          </w:p>
          <w:p>
            <w:pPr>
              <w:jc w:val="both"/>
              <w:rPr>
                <w:rFonts w:ascii="Times New Roman" w:hAnsi="Times New Roman" w:cs="Times New Roman"/>
                <w:lang w:val="tr-TR"/>
              </w:rPr>
            </w:pPr>
            <w:r>
              <w:rPr>
                <w:rFonts w:ascii="Times New Roman" w:hAnsi="Times New Roman" w:cs="Times New Roman"/>
                <w:lang w:val="tr-TR"/>
              </w:rPr>
              <w:t xml:space="preserve">• Deneyi üç kez tekrarlayınız ve harcanan NaOH hacimlerinin ortalamasını alınız.</w:t>
            </w:r>
          </w:p>
        </w:tc>
      </w:tr>
    </w:tbl>
    <w:p>
      <w:pPr>
        <w:jc w:val="both"/>
        <w:rPr>
          <w:rFonts w:ascii="Times New Roman" w:hAnsi="Times New Roman" w:cs="Times New Roman"/>
          <w:lang w:val="tr-TR"/>
        </w:rPr>
      </w:pP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Sehpaya bağlı büret, altında beyaz zemin üzerinde erlenmayer; parçalar “büret”, “musluk”, “erlenmayer”, “sehpa ve kıskaç” olarak etiketlenmiş vektörel çizim.</w:t>
            </w:r>
          </w:p>
          <w:p>
            <w:pPr>
              <w:jc w:val="both"/>
              <w:rPr>
                <w:rFonts w:ascii="Times New Roman" w:hAnsi="Times New Roman" w:cs="Times New Roman"/>
                <w:lang w:val="tr-TR"/>
              </w:rPr>
            </w:pPr>
            <w:r>
              <w:rPr>
                <w:rFonts w:ascii="Times New Roman" w:hAnsi="Times New Roman" w:cs="Times New Roman"/>
                <w:lang w:val="tr-TR"/>
              </w:rPr>
              <w:t xml:space="preserve">Shutter ID: 1610704996 (vektör) — Titration labeled educational chemistry scheme</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B:</w:t>
      </w:r>
      <w:r>
        <w:rPr>
          <w:rFonts w:ascii="Times New Roman" w:hAnsi="Times New Roman" w:cs="Times New Roman"/>
          <w:lang w:val="tr-TR"/>
        </w:rPr>
        <w:t xml:space="preserve"> Titrasyon düzeneği</w:t>
      </w:r>
    </w:p>
    <w:p>
      <w:pPr>
        <w:jc w:val="both"/>
        <w:rPr>
          <w:rFonts w:ascii="Times New Roman" w:hAnsi="Times New Roman" w:cs="Times New Roman"/>
          <w:lang w:val="tr-TR"/>
        </w:rPr>
      </w:pPr>
      <w:r>
        <w:rPr>
          <w:rFonts w:ascii="Times New Roman" w:hAnsi="Times New Roman" w:cs="Times New Roman"/>
          <w:b/>
          <w:bCs/>
          <w:lang w:val="tr-TR"/>
        </w:rPr>
        <w:t xml:space="preserve">2. Aşama: Deneyin Yapılması ve Verilerin Kaydedilmesi</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600"/>
        <w:gridCol w:w="2500"/>
        <w:gridCol w:w="2500"/>
        <w:gridCol w:w="2400"/>
      </w:tblGrid>
      <w:tr>
        <w:tc>
          <w:tcPr>
            <w:tcW w:w="1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Deneme</w:t>
            </w:r>
          </w:p>
        </w:tc>
        <w:tc>
          <w:tcPr>
            <w:tcW w:w="2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Büretteki ilk hacim (mL)</w:t>
            </w:r>
          </w:p>
        </w:tc>
        <w:tc>
          <w:tcPr>
            <w:tcW w:w="2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Büretteki son hacim (mL)</w:t>
            </w:r>
          </w:p>
        </w:tc>
        <w:tc>
          <w:tcPr>
            <w:tcW w:w="2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Harcanan NaOH hacmi (mL)</w:t>
            </w:r>
          </w:p>
        </w:tc>
      </w:tr>
      <w:tr>
        <w:trPr>
          <w:trHeight w:val="450"/>
        </w:trPr>
        <w:tc>
          <w:tcPr>
            <w:tcW w:w="1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w:t>
            </w:r>
          </w:p>
        </w:tc>
        <w:tc>
          <w:tcPr>
            <w:tcW w:w="2500" w:type="dxa"/>
            <w:vAlign w:val="center"/>
          </w:tcPr>
          <w:p>
            <w:pPr>
              <w:jc w:val="center"/>
              <w:rPr>
                <w:rFonts w:ascii="Times New Roman" w:hAnsi="Times New Roman" w:cs="Times New Roman"/>
                <w:lang w:val="tr-TR"/>
              </w:rPr>
            </w:pPr>
          </w:p>
        </w:tc>
        <w:tc>
          <w:tcPr>
            <w:tcW w:w="2500" w:type="dxa"/>
            <w:vAlign w:val="center"/>
          </w:tcPr>
          <w:p>
            <w:pPr>
              <w:jc w:val="center"/>
              <w:rPr>
                <w:rFonts w:ascii="Times New Roman" w:hAnsi="Times New Roman" w:cs="Times New Roman"/>
                <w:lang w:val="tr-TR"/>
              </w:rPr>
            </w:pPr>
          </w:p>
        </w:tc>
        <w:tc>
          <w:tcPr>
            <w:tcW w:w="2400" w:type="dxa"/>
            <w:vAlign w:val="center"/>
          </w:tcPr>
          <w:p>
            <w:pPr>
              <w:jc w:val="center"/>
              <w:rPr>
                <w:rFonts w:ascii="Times New Roman" w:hAnsi="Times New Roman" w:cs="Times New Roman"/>
                <w:lang w:val="tr-TR"/>
              </w:rPr>
            </w:pPr>
          </w:p>
        </w:tc>
      </w:tr>
      <w:tr>
        <w:trPr>
          <w:trHeight w:val="450"/>
        </w:trPr>
        <w:tc>
          <w:tcPr>
            <w:tcW w:w="1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w:t>
            </w:r>
          </w:p>
        </w:tc>
        <w:tc>
          <w:tcPr>
            <w:tcW w:w="2500" w:type="dxa"/>
            <w:vAlign w:val="center"/>
          </w:tcPr>
          <w:p>
            <w:pPr>
              <w:jc w:val="center"/>
              <w:rPr>
                <w:rFonts w:ascii="Times New Roman" w:hAnsi="Times New Roman" w:cs="Times New Roman"/>
                <w:lang w:val="tr-TR"/>
              </w:rPr>
            </w:pPr>
          </w:p>
        </w:tc>
        <w:tc>
          <w:tcPr>
            <w:tcW w:w="2500" w:type="dxa"/>
            <w:vAlign w:val="center"/>
          </w:tcPr>
          <w:p>
            <w:pPr>
              <w:jc w:val="center"/>
              <w:rPr>
                <w:rFonts w:ascii="Times New Roman" w:hAnsi="Times New Roman" w:cs="Times New Roman"/>
                <w:lang w:val="tr-TR"/>
              </w:rPr>
            </w:pPr>
          </w:p>
        </w:tc>
        <w:tc>
          <w:tcPr>
            <w:tcW w:w="2400" w:type="dxa"/>
            <w:vAlign w:val="center"/>
          </w:tcPr>
          <w:p>
            <w:pPr>
              <w:jc w:val="center"/>
              <w:rPr>
                <w:rFonts w:ascii="Times New Roman" w:hAnsi="Times New Roman" w:cs="Times New Roman"/>
                <w:lang w:val="tr-TR"/>
              </w:rPr>
            </w:pPr>
          </w:p>
        </w:tc>
      </w:tr>
      <w:tr>
        <w:trPr>
          <w:trHeight w:val="450"/>
        </w:trPr>
        <w:tc>
          <w:tcPr>
            <w:tcW w:w="1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3</w:t>
            </w:r>
          </w:p>
        </w:tc>
        <w:tc>
          <w:tcPr>
            <w:tcW w:w="2500" w:type="dxa"/>
            <w:vAlign w:val="center"/>
          </w:tcPr>
          <w:p>
            <w:pPr>
              <w:jc w:val="center"/>
              <w:rPr>
                <w:rFonts w:ascii="Times New Roman" w:hAnsi="Times New Roman" w:cs="Times New Roman"/>
                <w:lang w:val="tr-TR"/>
              </w:rPr>
            </w:pPr>
          </w:p>
        </w:tc>
        <w:tc>
          <w:tcPr>
            <w:tcW w:w="2500" w:type="dxa"/>
            <w:vAlign w:val="center"/>
          </w:tcPr>
          <w:p>
            <w:pPr>
              <w:jc w:val="center"/>
              <w:rPr>
                <w:rFonts w:ascii="Times New Roman" w:hAnsi="Times New Roman" w:cs="Times New Roman"/>
                <w:lang w:val="tr-TR"/>
              </w:rPr>
            </w:pPr>
          </w:p>
        </w:tc>
        <w:tc>
          <w:tcPr>
            <w:tcW w:w="2400" w:type="dxa"/>
            <w:vAlign w:val="center"/>
          </w:tcPr>
          <w:p>
            <w:pPr>
              <w:jc w:val="center"/>
              <w:rPr>
                <w:rFonts w:ascii="Times New Roman" w:hAnsi="Times New Roman" w:cs="Times New Roman"/>
                <w:lang w:val="tr-TR"/>
              </w:rPr>
            </w:pPr>
          </w:p>
        </w:tc>
      </w:tr>
      <w:tr>
        <w:trPr>
          <w:trHeight w:val="450"/>
        </w:trPr>
        <w:tc>
          <w:tcPr>
            <w:tcW w:w="1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Ortalama</w:t>
            </w:r>
          </w:p>
        </w:tc>
        <w:tc>
          <w:tcPr>
            <w:tcW w:w="2500" w:type="dxa"/>
            <w:vAlign w:val="center"/>
          </w:tcPr>
          <w:p>
            <w:pPr>
              <w:jc w:val="center"/>
              <w:rPr>
                <w:rFonts w:ascii="Times New Roman" w:hAnsi="Times New Roman" w:cs="Times New Roman"/>
                <w:lang w:val="tr-TR"/>
              </w:rPr>
            </w:pPr>
          </w:p>
        </w:tc>
        <w:tc>
          <w:tcPr>
            <w:tcW w:w="2500" w:type="dxa"/>
            <w:vAlign w:val="center"/>
          </w:tcPr>
          <w:p>
            <w:pPr>
              <w:jc w:val="center"/>
              <w:rPr>
                <w:rFonts w:ascii="Times New Roman" w:hAnsi="Times New Roman" w:cs="Times New Roman"/>
                <w:lang w:val="tr-TR"/>
              </w:rPr>
            </w:pPr>
          </w:p>
        </w:tc>
        <w:tc>
          <w:tcPr>
            <w:tcW w:w="24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Okulunuzda laboratuvar imkânı yoksa aşağıdaki örnek deney verilerini kullanabilirsiniz.</w:t>
      </w:r>
    </w:p>
    <w:p>
      <w:pPr>
        <w:jc w:val="center"/>
        <w:rPr>
          <w:rFonts w:ascii="Times New Roman" w:hAnsi="Times New Roman" w:cs="Times New Roman"/>
          <w:lang w:val="tr-TR"/>
        </w:rPr>
      </w:pPr>
      <w:r>
        <w:rPr>
          <w:rFonts w:ascii="Times New Roman" w:hAnsi="Times New Roman" w:cs="Times New Roman"/>
          <w:b/>
          <w:bCs/>
          <w:lang w:val="tr-TR"/>
        </w:rPr>
        <w:t xml:space="preserve">Tablo A:</w:t>
      </w:r>
      <w:r>
        <w:rPr>
          <w:rFonts w:ascii="Times New Roman" w:hAnsi="Times New Roman" w:cs="Times New Roman"/>
          <w:lang w:val="tr-TR"/>
        </w:rPr>
        <w:t xml:space="preserve"> 20,0 mL HCl çözeltisinin 0,100 M NaOH çözeltisi ile titrasyonunda harcanan baz hacimleri</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3600"/>
        <w:gridCol w:w="1800"/>
        <w:gridCol w:w="1800"/>
        <w:gridCol w:w="1800"/>
      </w:tblGrid>
      <w:tr>
        <w:tc>
          <w:tcPr>
            <w:tcW w:w="3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Deneme</w:t>
            </w:r>
          </w:p>
        </w:tc>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1</w:t>
            </w:r>
          </w:p>
        </w:tc>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2</w:t>
            </w:r>
          </w:p>
        </w:tc>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3</w:t>
            </w:r>
          </w:p>
        </w:tc>
      </w:tr>
      <w:tr>
        <w:tc>
          <w:tcPr>
            <w:tcW w:w="3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Harcanan NaOH hacmi (mL)</w:t>
            </w:r>
          </w:p>
        </w:tc>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17,9</w:t>
            </w:r>
          </w:p>
        </w:tc>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18,1</w:t>
            </w:r>
          </w:p>
        </w:tc>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18,0</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3. Aşama: Derişimin Belirlenmesi</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Harcanan NaOH hacimlerinin ortalamasını kullanarak HCl çözeltisinin derişimini hesaplayınız.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Deneyi neden birden fazla kez tekrarladınız? Ölçümlerinizi etkileyebilecek hata kaynakları nelerdir?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Fenolftalein yerine metil oranj kullansaydınız sonuç değişir miydi?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Deney sonuçlarınızı belirlenen ölçütlere uygun şekilde bireysel bir deney raporu olarak yazınız. Deney raporunuz, karekodda yer alan “Dereceli Puanlama Anahtarı” ile değerlendirilecektir.</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2"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Dereceli Puanlama Anahtarı</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Dereceli Puanlama Anahtarı</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Karekodda verilen “Öz Değerlendirme Formu” ile başlangıçta hedeflediğiniz noktaya ulaşma durumunuzu, bu süreci kolaylaştıran davranışlarınızı ve neleri daha farklı yapabileceğinizi değerlendiriniz.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3"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Öz Değerlendirme Formu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Öz Değerlendirme Formu</w:t>
                      </w:r>
                    </w:p>
                  </w:txbxContent>
                </v:textbox>
              </v:rect>
            </w:pict>
          </mc:Fallback>
        </mc:AlternateContent>
      </w:r>
    </w:p>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4"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Bir çözeltideki asit ya da baz miktarını, derişimi tam olarak bilinen başka bir çözeltiyle tepkimeye sokarak bulma yöntemine </w:t>
      </w:r>
      <w:r>
        <w:rPr>
          <w:rFonts w:ascii="Times New Roman" w:hAnsi="Times New Roman" w:cs="Times New Roman"/>
          <w:b/>
          <w:bCs/>
          <w:lang w:val="tr-TR"/>
        </w:rPr>
        <w:t xml:space="preserve">titrasyon</w:t>
      </w:r>
      <w:r>
        <w:rPr>
          <w:rFonts w:ascii="Times New Roman" w:hAnsi="Times New Roman" w:cs="Times New Roman"/>
          <w:lang w:val="tr-TR"/>
        </w:rPr>
        <w:t xml:space="preserve"> denir. Titrasyonda kullanılan, derişimi tam olarak bilinen çözeltiye </w:t>
      </w:r>
      <w:r>
        <w:rPr>
          <w:rFonts w:ascii="Times New Roman" w:hAnsi="Times New Roman" w:cs="Times New Roman"/>
          <w:b/>
          <w:bCs/>
          <w:lang w:val="tr-TR"/>
        </w:rPr>
        <w:t xml:space="preserve">standart çözelti</w:t>
      </w:r>
      <w:r>
        <w:rPr>
          <w:rFonts w:ascii="Times New Roman" w:hAnsi="Times New Roman" w:cs="Times New Roman"/>
          <w:lang w:val="tr-TR"/>
        </w:rPr>
        <w:t xml:space="preserve"> denir. Asit-baz titrasyonlarında standart çözelti genellikle bir bürete konur ve derişimi bilinmeyen çözeltinin belirli bir hacmini içeren erlenmayere damla damla eklenir. </w:t>
      </w:r>
      <w:r>
        <w:rPr>
          <w:rFonts w:ascii="Times New Roman" w:hAnsi="Times New Roman" w:cs="Times New Roman"/>
          <w:b/>
          <w:bCs/>
          <w:lang w:val="tr-TR"/>
        </w:rPr>
        <w:t xml:space="preserve">Büret</w:t>
      </w:r>
      <w:r>
        <w:rPr>
          <w:rFonts w:ascii="Times New Roman" w:hAnsi="Times New Roman" w:cs="Times New Roman"/>
          <w:lang w:val="tr-TR"/>
        </w:rPr>
        <w:t xml:space="preserve">, eklenen çözeltinin hacmini 0,1 mL duyarlılıkla ölçmeyi sağlayan, alt ucunda musluk bulunan dereceli bir cam borudur. Titrasyonlar, gerçekleşen tepkimenin türüne göre asit-baz, çöktürme ve redoks (indirgenme-yükseltgenme) titrasyonları olarak sınıflandırılır. Bu bölümde kuvvetli asit-kuvvetli baz titrasyonları incelenecektir.</w:t>
      </w:r>
    </w:p>
    <w:p>
      <w:pPr>
        <w:jc w:val="both"/>
        <w:rPr>
          <w:rFonts w:ascii="Times New Roman" w:hAnsi="Times New Roman" w:cs="Times New Roman"/>
          <w:lang w:val="tr-TR"/>
        </w:rPr>
      </w:pPr>
      <w:r>
        <w:rPr>
          <w:rFonts w:ascii="Times New Roman" w:hAnsi="Times New Roman" w:cs="Times New Roman"/>
          <w:lang w:val="tr-TR"/>
        </w:rPr>
        <w:t xml:space="preserve">Titrasyonda asidin H</w:t>
      </w:r>
      <w:r>
        <w:rPr>
          <w:rFonts w:ascii="Times New Roman" w:hAnsi="Times New Roman" w:cs="Times New Roman"/>
          <w:vertAlign w:val="superscript"/>
          <w:lang w:val="tr-TR"/>
        </w:rPr>
        <w:t xml:space="preserve">+</w:t>
      </w:r>
      <w:r>
        <w:rPr>
          <w:rFonts w:ascii="Times New Roman" w:hAnsi="Times New Roman" w:cs="Times New Roman"/>
          <w:lang w:val="tr-TR"/>
        </w:rPr>
        <w:t xml:space="preserve"> mol sayısının bazın OH</w:t>
      </w:r>
      <w:r>
        <w:rPr>
          <w:rFonts w:ascii="Times New Roman" w:hAnsi="Times New Roman" w:cs="Times New Roman"/>
          <w:vertAlign w:val="superscript"/>
          <w:lang w:val="tr-TR"/>
        </w:rPr>
        <w:t xml:space="preserve">−</w:t>
      </w:r>
      <w:r>
        <w:rPr>
          <w:rFonts w:ascii="Times New Roman" w:hAnsi="Times New Roman" w:cs="Times New Roman"/>
          <w:lang w:val="tr-TR"/>
        </w:rPr>
        <w:t xml:space="preserve"> mol sayısına eşit olduğu noktaya </w:t>
      </w:r>
      <w:r>
        <w:rPr>
          <w:rFonts w:ascii="Times New Roman" w:hAnsi="Times New Roman" w:cs="Times New Roman"/>
          <w:b/>
          <w:bCs/>
          <w:lang w:val="tr-TR"/>
        </w:rPr>
        <w:t xml:space="preserve">eş değerlik noktası</w:t>
      </w:r>
      <w:r>
        <w:rPr>
          <w:rFonts w:ascii="Times New Roman" w:hAnsi="Times New Roman" w:cs="Times New Roman"/>
          <w:lang w:val="tr-TR"/>
        </w:rPr>
        <w:t xml:space="preserve"> denir. Kuvvetli bir asit kuvvetli bir bazla titre edildiğinde eş değerlik noktasındaki çözelti nötrdür ve 25 °C’de pH değeri 7’dir. İndikatörün renk değiştirdiği ve titrasyonun sonlandırıldığı noktaya ise </w:t>
      </w:r>
      <w:r>
        <w:rPr>
          <w:rFonts w:ascii="Times New Roman" w:hAnsi="Times New Roman" w:cs="Times New Roman"/>
          <w:b/>
          <w:bCs/>
          <w:lang w:val="tr-TR"/>
        </w:rPr>
        <w:t xml:space="preserve">dönüm noktası</w:t>
      </w:r>
      <w:r>
        <w:rPr>
          <w:rFonts w:ascii="Times New Roman" w:hAnsi="Times New Roman" w:cs="Times New Roman"/>
          <w:lang w:val="tr-TR"/>
        </w:rPr>
        <w:t xml:space="preserve"> (titrasyonun bitiş noktası) denir. Eş değerlik noktası hesaplanabilen kuramsal bir noktadır; doğrudan gözlenemez. Deneyde gözlenen ise dönüm noktasıdır. Uygun indikatör seçildiğinde dönüm noktası eş değerlik noktasına çok yakın olur ve aradaki hacim farkı bir damladan bile küçük olduğu için hesaplamalarda dönüm noktasında harcanan hacim kullanılır.</w:t>
      </w:r>
    </w:p>
    <w:p>
      <w:pPr>
        <w:jc w:val="both"/>
        <w:rPr>
          <w:rFonts w:ascii="Times New Roman" w:hAnsi="Times New Roman" w:cs="Times New Roman"/>
          <w:lang w:val="tr-TR"/>
        </w:rPr>
      </w:pPr>
      <w:r>
        <w:rPr>
          <w:rFonts w:ascii="Times New Roman" w:hAnsi="Times New Roman" w:cs="Times New Roman"/>
          <w:lang w:val="tr-TR"/>
        </w:rPr>
        <w:t xml:space="preserve">Titrasyon boyunca çözeltinin pH’ının eklenen standart çözelti hacmine göre değişimini gösteren grafiğe </w:t>
      </w:r>
      <w:r>
        <w:rPr>
          <w:rFonts w:ascii="Times New Roman" w:hAnsi="Times New Roman" w:cs="Times New Roman"/>
          <w:b/>
          <w:bCs/>
          <w:lang w:val="tr-TR"/>
        </w:rPr>
        <w:t xml:space="preserve">titrasyon eğrisi</w:t>
      </w:r>
      <w:r>
        <w:rPr>
          <w:rFonts w:ascii="Times New Roman" w:hAnsi="Times New Roman" w:cs="Times New Roman"/>
          <w:lang w:val="tr-TR"/>
        </w:rPr>
        <w:t xml:space="preserve"> denir. Grafik A’da 25,0 mL 0,100 M HCl çözeltisinin 0,100 M NaOH çözeltisi ile titrasyonuna ait titrasyon eğrisi verilmiştir. Başlangıçta pH değeri yavaş artar. Eş değerlik noktasına yaklaşıldığında tek bir damla bazın eklenmesi pH’ı birkaç birim değiştirir; eğri neredeyse dikey hâle gelir. Örneğin eklenen NaOH hacmi 24,9 mL iken pH yaklaşık 3,7, 25,1 mL iken yaklaşık 10,3’tür. Bu dik bölge fenolftaleinin (pH 8,2-10,0) ve metil oranjın (pH 3,1-4,4) dönüm aralıklarını kapsadığı için her iki indikatör de kuvvetli asit-kuvvetli baz titrasyonlarında kullanılabilir. Renk değiştirme aralığı eş değerlik noktasına en yakın olan bromtimol mavisi (pH 6,0-7,6) de uygun bir seçimdir. Genel olarak indikatör, renk değiştirme aralığı titrasyon eğrisinin dik bölgesine düşecek şekilde seçilmelidir.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040000" cy="3225600"/>
            <wp:docPr id="900005" name="Grafik 900005" descr="Kuvvetli asit-kuvvetli baz titrasyon eğrisi"/>
            <wp:cNvGraphicFramePr>
              <a:graphicFrameLocks noChangeAspect="1"/>
            </wp:cNvGraphicFramePr>
            <a:graphic>
              <a:graphicData uri="http://schemas.openxmlformats.org/drawingml/2006/picture">
                <pic:pic>
                  <pic:nvPicPr>
                    <pic:cNvPr id="900005" name="k11_900005.png"/>
                    <pic:cNvPicPr/>
                  </pic:nvPicPr>
                  <pic:blipFill>
                    <a:blip r:embed="rIdK1"/>
                    <a:stretch>
                      <a:fillRect/>
                    </a:stretch>
                  </pic:blipFill>
                  <pic:spPr>
                    <a:xfrm>
                      <a:off x="0" y="0"/>
                      <a:ext cx="5040000" cy="3225600"/>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Grafik A:</w:t>
      </w:r>
      <w:r>
        <w:rPr>
          <w:rFonts w:ascii="Times New Roman" w:hAnsi="Times New Roman" w:cs="Times New Roman"/>
          <w:lang w:val="tr-TR"/>
        </w:rPr>
        <w:t xml:space="preserve"> 25,0 mL 0,100 M HCl çözeltisinin 0,100 M NaOH çözeltisi ile titrasyon eğrisi</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Grafik hesaplanan değerlerle taslak olarak çizilmiştir; yayınevi tarafından vektörel olarak yeniden çizilebilir.</w:t>
      </w:r>
    </w:p>
    <w:p>
      <w:pPr>
        <w:jc w:val="both"/>
        <w:rPr>
          <w:rFonts w:ascii="Times New Roman" w:hAnsi="Times New Roman" w:cs="Times New Roman"/>
          <w:lang w:val="tr-TR"/>
        </w:rPr>
      </w:pPr>
      <w:r>
        <w:rPr>
          <w:rFonts w:ascii="Times New Roman" w:hAnsi="Times New Roman" w:cs="Times New Roman"/>
          <w:lang w:val="tr-TR"/>
        </w:rPr>
        <w:t xml:space="preserve">Eş değerlik noktasında asit ve bazın mol sayıları arasındaki ilişki kullanılarak bilinmeyen derişim hesaplanır: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DEEAF6"/>
          </w:tcPr>
          <w:p>
            <w:pPr>
              <w:jc w:val="center"/>
              <w:rPr>
                <w:rFonts w:ascii="Times New Roman" w:hAnsi="Times New Roman" w:cs="Times New Roman"/>
                <w:lang w:val="tr-TR"/>
              </w:rPr>
            </w:pPr>
            <m:oMathPara>
              <m:oMath>
                <m:sSub>
                  <m:e>
                    <m:r>
                      <m:rPr>
                        <m:sty m:val="p"/>
                      </m:rPr>
                      <w:rPr>
                        <w:rFonts w:ascii="Cambria Math" w:hAnsi="Cambria Math" w:cs="Cambria Math"/>
                        <w:lang w:val="tr-TR"/>
                      </w:rPr>
                      <w:t xml:space="preserve">M</w:t>
                    </m:r>
                  </m:e>
                  <m:sub>
                    <m:r>
                      <m:rPr>
                        <m:sty m:val="p"/>
                      </m:rPr>
                      <w:rPr>
                        <w:rFonts w:ascii="Cambria Math" w:hAnsi="Cambria Math" w:cs="Cambria Math"/>
                        <w:lang w:val="tr-TR"/>
                      </w:rPr>
                      <w:t xml:space="preserve">a</w:t>
                    </m:r>
                  </m:sub>
                </m:sSub>
                <m:r>
                  <m:rPr>
                    <m:sty m:val="p"/>
                  </m:rPr>
                  <w:rPr>
                    <w:rFonts w:ascii="Cambria Math" w:hAnsi="Cambria Math" w:cs="Cambria Math"/>
                    <w:lang w:val="tr-TR"/>
                  </w:rPr>
                  <w:t xml:space="preserve"> · </w:t>
                </m:r>
                <m:sSub>
                  <m:e>
                    <m:r>
                      <m:rPr>
                        <m:sty m:val="p"/>
                      </m:rPr>
                      <w:rPr>
                        <w:rFonts w:ascii="Cambria Math" w:hAnsi="Cambria Math" w:cs="Cambria Math"/>
                        <w:lang w:val="tr-TR"/>
                      </w:rPr>
                      <w:t xml:space="preserve">V</w:t>
                    </m:r>
                  </m:e>
                  <m:sub>
                    <m:r>
                      <m:rPr>
                        <m:sty m:val="p"/>
                      </m:rPr>
                      <w:rPr>
                        <w:rFonts w:ascii="Cambria Math" w:hAnsi="Cambria Math" w:cs="Cambria Math"/>
                        <w:lang w:val="tr-TR"/>
                      </w:rPr>
                      <w:t xml:space="preserve">a</w:t>
                    </m:r>
                  </m:sub>
                </m:sSub>
                <m:r>
                  <m:rPr>
                    <m:sty m:val="p"/>
                  </m:rPr>
                  <w:rPr>
                    <w:rFonts w:ascii="Cambria Math" w:hAnsi="Cambria Math" w:cs="Cambria Math"/>
                    <w:lang w:val="tr-TR"/>
                  </w:rPr>
                  <w:t xml:space="preserve"> · (H⁺ sayısı) = </w:t>
                </m:r>
                <m:sSub>
                  <m:e>
                    <m:r>
                      <m:rPr>
                        <m:sty m:val="p"/>
                      </m:rPr>
                      <w:rPr>
                        <w:rFonts w:ascii="Cambria Math" w:hAnsi="Cambria Math" w:cs="Cambria Math"/>
                        <w:lang w:val="tr-TR"/>
                      </w:rPr>
                      <w:t xml:space="preserve">M</w:t>
                    </m:r>
                  </m:e>
                  <m:sub>
                    <m:r>
                      <m:rPr>
                        <m:sty m:val="p"/>
                      </m:rPr>
                      <w:rPr>
                        <w:rFonts w:ascii="Cambria Math" w:hAnsi="Cambria Math" w:cs="Cambria Math"/>
                        <w:lang w:val="tr-TR"/>
                      </w:rPr>
                      <w:t xml:space="preserve">b</w:t>
                    </m:r>
                  </m:sub>
                </m:sSub>
                <m:r>
                  <m:rPr>
                    <m:sty m:val="p"/>
                  </m:rPr>
                  <w:rPr>
                    <w:rFonts w:ascii="Cambria Math" w:hAnsi="Cambria Math" w:cs="Cambria Math"/>
                    <w:lang w:val="tr-TR"/>
                  </w:rPr>
                  <w:t xml:space="preserve"> · </w:t>
                </m:r>
                <m:sSub>
                  <m:e>
                    <m:r>
                      <m:rPr>
                        <m:sty m:val="p"/>
                      </m:rPr>
                      <w:rPr>
                        <w:rFonts w:ascii="Cambria Math" w:hAnsi="Cambria Math" w:cs="Cambria Math"/>
                        <w:lang w:val="tr-TR"/>
                      </w:rPr>
                      <w:t xml:space="preserve">V</w:t>
                    </m:r>
                  </m:e>
                  <m:sub>
                    <m:r>
                      <m:rPr>
                        <m:sty m:val="p"/>
                      </m:rPr>
                      <w:rPr>
                        <w:rFonts w:ascii="Cambria Math" w:hAnsi="Cambria Math" w:cs="Cambria Math"/>
                        <w:lang w:val="tr-TR"/>
                      </w:rPr>
                      <w:t xml:space="preserve">b</w:t>
                    </m:r>
                  </m:sub>
                </m:sSub>
                <m:r>
                  <m:rPr>
                    <m:sty m:val="p"/>
                  </m:rPr>
                  <w:rPr>
                    <w:rFonts w:ascii="Cambria Math" w:hAnsi="Cambria Math" w:cs="Cambria Math"/>
                    <w:lang w:val="tr-TR"/>
                  </w:rPr>
                  <w:t xml:space="preserve"> · (OH⁻ sayısı)</w:t>
                </m:r>
              </m:oMath>
            </m:oMathPara>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Bir bazın derişimi de derişimi bilinen kuvvetli bir asitle aynı yöntemle belirlenebilir. Bu durumda büret standart asit çözeltisi ile doldurulur ve titrasyon eğrisi yüksek pH değerlerinden başlayarak azalır.</w: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2.20.</w:t>
      </w:r>
    </w:p>
    <w:p>
      <w:pPr>
        <w:jc w:val="both"/>
        <w:rPr>
          <w:rFonts w:ascii="Times New Roman" w:hAnsi="Times New Roman" w:cs="Times New Roman"/>
          <w:lang w:val="tr-TR"/>
        </w:rPr>
      </w:pPr>
      <w:r>
        <w:rPr>
          <w:rFonts w:ascii="Times New Roman" w:hAnsi="Times New Roman" w:cs="Times New Roman"/>
          <w:lang w:val="tr-TR"/>
        </w:rPr>
        <w:t xml:space="preserve">20,0 mL HCl çözeltisi fenolftalein indikatörü varlığında 0,150 M NaOH çözeltisi ile titre ediliyor. Dönüm noktasına kadar 16,0 mL NaOH çözeltisi harcandığına göre HCl çözeltisinin derişimini hesaplayınız.</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M</w:t>
      </w:r>
      <w:r>
        <w:rPr>
          <w:rFonts w:ascii="Times New Roman" w:hAnsi="Times New Roman" w:cs="Times New Roman"/>
          <w:vertAlign w:val="subscript"/>
          <w:lang w:val="tr-TR"/>
        </w:rPr>
        <w:t xml:space="preserve">a</w:t>
      </w:r>
      <w:r>
        <w:rPr>
          <w:rFonts w:ascii="Times New Roman" w:hAnsi="Times New Roman" w:cs="Times New Roman"/>
          <w:lang w:val="tr-TR"/>
        </w:rPr>
        <w:t xml:space="preserve"> · V</w:t>
      </w:r>
      <w:r>
        <w:rPr>
          <w:rFonts w:ascii="Times New Roman" w:hAnsi="Times New Roman" w:cs="Times New Roman"/>
          <w:vertAlign w:val="subscript"/>
          <w:lang w:val="tr-TR"/>
        </w:rPr>
        <w:t xml:space="preserve">a</w:t>
      </w:r>
      <w:r>
        <w:rPr>
          <w:rFonts w:ascii="Times New Roman" w:hAnsi="Times New Roman" w:cs="Times New Roman"/>
          <w:lang w:val="tr-TR"/>
        </w:rPr>
        <w:t xml:space="preserve"> · 1 = M</w:t>
      </w:r>
      <w:r>
        <w:rPr>
          <w:rFonts w:ascii="Times New Roman" w:hAnsi="Times New Roman" w:cs="Times New Roman"/>
          <w:vertAlign w:val="subscript"/>
          <w:lang w:val="tr-TR"/>
        </w:rPr>
        <w:t xml:space="preserve">b</w:t>
      </w:r>
      <w:r>
        <w:rPr>
          <w:rFonts w:ascii="Times New Roman" w:hAnsi="Times New Roman" w:cs="Times New Roman"/>
          <w:lang w:val="tr-TR"/>
        </w:rPr>
        <w:t xml:space="preserve"> · V</w:t>
      </w:r>
      <w:r>
        <w:rPr>
          <w:rFonts w:ascii="Times New Roman" w:hAnsi="Times New Roman" w:cs="Times New Roman"/>
          <w:vertAlign w:val="subscript"/>
          <w:lang w:val="tr-TR"/>
        </w:rPr>
        <w:t xml:space="preserve">b</w:t>
      </w:r>
      <w:r>
        <w:rPr>
          <w:rFonts w:ascii="Times New Roman" w:hAnsi="Times New Roman" w:cs="Times New Roman"/>
          <w:lang w:val="tr-TR"/>
        </w:rPr>
        <w:t xml:space="preserve"> · 1   ⟹   M</w:t>
      </w:r>
      <w:r>
        <w:rPr>
          <w:rFonts w:ascii="Times New Roman" w:hAnsi="Times New Roman" w:cs="Times New Roman"/>
          <w:vertAlign w:val="subscript"/>
          <w:lang w:val="tr-TR"/>
        </w:rPr>
        <w:t xml:space="preserve">a</w:t>
      </w:r>
      <w:r>
        <w:rPr>
          <w:rFonts w:ascii="Times New Roman" w:hAnsi="Times New Roman" w:cs="Times New Roman"/>
          <w:lang w:val="tr-TR"/>
        </w:rPr>
        <w:t xml:space="preserve"> · 20,0 mL = 0,150 M · 16,0 mL   ⟹   M</w:t>
      </w:r>
      <w:r>
        <w:rPr>
          <w:rFonts w:ascii="Times New Roman" w:hAnsi="Times New Roman" w:cs="Times New Roman"/>
          <w:vertAlign w:val="subscript"/>
          <w:lang w:val="tr-TR"/>
        </w:rPr>
        <w:t xml:space="preserve">a</w:t>
      </w:r>
      <w:r>
        <w:rPr>
          <w:rFonts w:ascii="Times New Roman" w:hAnsi="Times New Roman" w:cs="Times New Roman"/>
          <w:lang w:val="tr-TR"/>
        </w:rPr>
        <w:t xml:space="preserve"> = 0,120 M</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6"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2.21.</w:t>
      </w:r>
    </w:p>
    <w:p>
      <w:pPr>
        <w:jc w:val="both"/>
        <w:rPr>
          <w:rFonts w:ascii="Times New Roman" w:hAnsi="Times New Roman" w:cs="Times New Roman"/>
          <w:lang w:val="tr-TR"/>
        </w:rPr>
      </w:pPr>
      <w:r>
        <w:rPr>
          <w:rFonts w:ascii="Times New Roman" w:hAnsi="Times New Roman" w:cs="Times New Roman"/>
          <w:lang w:val="tr-TR"/>
        </w:rPr>
        <w:t xml:space="preserve">25,0 mL Ba(OH)</w:t>
      </w:r>
      <w:r>
        <w:rPr>
          <w:rFonts w:ascii="Times New Roman" w:hAnsi="Times New Roman" w:cs="Times New Roman"/>
          <w:vertAlign w:val="subscript"/>
          <w:lang w:val="tr-TR"/>
        </w:rPr>
        <w:t xml:space="preserve">2</w:t>
      </w:r>
      <w:r>
        <w:rPr>
          <w:rFonts w:ascii="Times New Roman" w:hAnsi="Times New Roman" w:cs="Times New Roman"/>
          <w:lang w:val="tr-TR"/>
        </w:rPr>
        <w:t xml:space="preserve"> çözeltisini titre etmek için 0,100 M HCl çözeltisinden 30,0 mL harcanmıştır. Ba(OH)</w:t>
      </w:r>
      <w:r>
        <w:rPr>
          <w:rFonts w:ascii="Times New Roman" w:hAnsi="Times New Roman" w:cs="Times New Roman"/>
          <w:vertAlign w:val="subscript"/>
          <w:lang w:val="tr-TR"/>
        </w:rPr>
        <w:t xml:space="preserve">2</w:t>
      </w:r>
      <w:r>
        <w:rPr>
          <w:rFonts w:ascii="Times New Roman" w:hAnsi="Times New Roman" w:cs="Times New Roman"/>
          <w:lang w:val="tr-TR"/>
        </w:rPr>
        <w:t xml:space="preserve"> çözeltisinin derişimini hesaplayınız.</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center"/>
        <w:rPr>
          <w:rFonts w:ascii="Times New Roman" w:hAnsi="Times New Roman" w:cs="Times New Roman"/>
          <w:lang w:val="tr-TR"/>
        </w:rPr>
      </w:pPr>
      <w:r>
        <w:rPr>
          <w:rFonts w:ascii="Times New Roman" w:hAnsi="Times New Roman" w:cs="Times New Roman"/>
          <w:lang w:val="tr-TR"/>
        </w:rPr>
        <w:t xml:space="preserve">2HCl(suda) + Ba(OH)</w:t>
      </w:r>
      <w:r>
        <w:rPr>
          <w:rFonts w:ascii="Times New Roman" w:hAnsi="Times New Roman" w:cs="Times New Roman"/>
          <w:vertAlign w:val="subscript"/>
          <w:lang w:val="tr-TR"/>
        </w:rPr>
        <w:t xml:space="preserve">2</w:t>
      </w:r>
      <w:r>
        <w:rPr>
          <w:rFonts w:ascii="Times New Roman" w:hAnsi="Times New Roman" w:cs="Times New Roman"/>
          <w:lang w:val="tr-TR"/>
        </w:rPr>
        <w:t xml:space="preserve">(suda) → BaCl</w:t>
      </w:r>
      <w:r>
        <w:rPr>
          <w:rFonts w:ascii="Times New Roman" w:hAnsi="Times New Roman" w:cs="Times New Roman"/>
          <w:vertAlign w:val="subscript"/>
          <w:lang w:val="tr-TR"/>
        </w:rPr>
        <w:t xml:space="preserve">2</w:t>
      </w:r>
      <w:r>
        <w:rPr>
          <w:rFonts w:ascii="Times New Roman" w:hAnsi="Times New Roman" w:cs="Times New Roman"/>
          <w:lang w:val="tr-TR"/>
        </w:rPr>
        <w:t xml:space="preserve">(suda) + 2H</w:t>
      </w:r>
      <w:r>
        <w:rPr>
          <w:rFonts w:ascii="Times New Roman" w:hAnsi="Times New Roman" w:cs="Times New Roman"/>
          <w:vertAlign w:val="subscript"/>
          <w:lang w:val="tr-TR"/>
        </w:rPr>
        <w:t xml:space="preserve">2</w:t>
      </w:r>
      <w:r>
        <w:rPr>
          <w:rFonts w:ascii="Times New Roman" w:hAnsi="Times New Roman" w:cs="Times New Roman"/>
          <w:lang w:val="tr-TR"/>
        </w:rPr>
        <w:t xml:space="preserve">O(s)</w:t>
      </w:r>
    </w:p>
    <w:p>
      <w:pPr>
        <w:jc w:val="both"/>
        <w:rPr>
          <w:rFonts w:ascii="Times New Roman" w:hAnsi="Times New Roman" w:cs="Times New Roman"/>
          <w:lang w:val="tr-TR"/>
        </w:rPr>
      </w:pPr>
      <w:r>
        <w:rPr>
          <w:rFonts w:ascii="Times New Roman" w:hAnsi="Times New Roman" w:cs="Times New Roman"/>
          <w:lang w:val="tr-TR"/>
        </w:rPr>
        <w:t xml:space="preserve">M</w:t>
      </w:r>
      <w:r>
        <w:rPr>
          <w:rFonts w:ascii="Times New Roman" w:hAnsi="Times New Roman" w:cs="Times New Roman"/>
          <w:vertAlign w:val="subscript"/>
          <w:lang w:val="tr-TR"/>
        </w:rPr>
        <w:t xml:space="preserve">a</w:t>
      </w:r>
      <w:r>
        <w:rPr>
          <w:rFonts w:ascii="Times New Roman" w:hAnsi="Times New Roman" w:cs="Times New Roman"/>
          <w:lang w:val="tr-TR"/>
        </w:rPr>
        <w:t xml:space="preserve"> · V</w:t>
      </w:r>
      <w:r>
        <w:rPr>
          <w:rFonts w:ascii="Times New Roman" w:hAnsi="Times New Roman" w:cs="Times New Roman"/>
          <w:vertAlign w:val="subscript"/>
          <w:lang w:val="tr-TR"/>
        </w:rPr>
        <w:t xml:space="preserve">a</w:t>
      </w:r>
      <w:r>
        <w:rPr>
          <w:rFonts w:ascii="Times New Roman" w:hAnsi="Times New Roman" w:cs="Times New Roman"/>
          <w:lang w:val="tr-TR"/>
        </w:rPr>
        <w:t xml:space="preserve"> · 1 = M</w:t>
      </w:r>
      <w:r>
        <w:rPr>
          <w:rFonts w:ascii="Times New Roman" w:hAnsi="Times New Roman" w:cs="Times New Roman"/>
          <w:vertAlign w:val="subscript"/>
          <w:lang w:val="tr-TR"/>
        </w:rPr>
        <w:t xml:space="preserve">b</w:t>
      </w:r>
      <w:r>
        <w:rPr>
          <w:rFonts w:ascii="Times New Roman" w:hAnsi="Times New Roman" w:cs="Times New Roman"/>
          <w:lang w:val="tr-TR"/>
        </w:rPr>
        <w:t xml:space="preserve"> · V</w:t>
      </w:r>
      <w:r>
        <w:rPr>
          <w:rFonts w:ascii="Times New Roman" w:hAnsi="Times New Roman" w:cs="Times New Roman"/>
          <w:vertAlign w:val="subscript"/>
          <w:lang w:val="tr-TR"/>
        </w:rPr>
        <w:t xml:space="preserve">b</w:t>
      </w:r>
      <w:r>
        <w:rPr>
          <w:rFonts w:ascii="Times New Roman" w:hAnsi="Times New Roman" w:cs="Times New Roman"/>
          <w:lang w:val="tr-TR"/>
        </w:rPr>
        <w:t xml:space="preserve"> · 2   ⟹   0,100 M · 30,0 mL = M</w:t>
      </w:r>
      <w:r>
        <w:rPr>
          <w:rFonts w:ascii="Times New Roman" w:hAnsi="Times New Roman" w:cs="Times New Roman"/>
          <w:vertAlign w:val="subscript"/>
          <w:lang w:val="tr-TR"/>
        </w:rPr>
        <w:t xml:space="preserve">b</w:t>
      </w:r>
      <w:r>
        <w:rPr>
          <w:rFonts w:ascii="Times New Roman" w:hAnsi="Times New Roman" w:cs="Times New Roman"/>
          <w:lang w:val="tr-TR"/>
        </w:rPr>
        <w:t xml:space="preserve"> · 25,0 mL · 2   ⟹   M</w:t>
      </w:r>
      <w:r>
        <w:rPr>
          <w:rFonts w:ascii="Times New Roman" w:hAnsi="Times New Roman" w:cs="Times New Roman"/>
          <w:vertAlign w:val="subscript"/>
          <w:lang w:val="tr-TR"/>
        </w:rPr>
        <w:t xml:space="preserve">b</w:t>
      </w:r>
      <w:r>
        <w:rPr>
          <w:rFonts w:ascii="Times New Roman" w:hAnsi="Times New Roman" w:cs="Times New Roman"/>
          <w:lang w:val="tr-TR"/>
        </w:rPr>
        <w:t xml:space="preserve"> = 0,0600 M</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7"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E97132"/>
        <w:jc w:val="both"/>
        <w:rPr>
          <w:rFonts w:ascii="Times New Roman" w:hAnsi="Times New Roman" w:cs="Times New Roman"/>
          <w:b/>
          <w:bCs/>
          <w:lang w:val="tr-TR"/>
        </w:rPr>
      </w:pPr>
      <w:r>
        <w:rPr>
          <w:rFonts w:ascii="Times New Roman" w:hAnsi="Times New Roman" w:cs="Times New Roman"/>
          <w:b/>
          <w:bCs/>
          <w:lang w:val="tr-TR"/>
        </w:rPr>
        <w:t xml:space="preserve">Bilgi Köşesi 2.3.</w:t>
      </w:r>
    </w:p>
    <w:p>
      <w:pPr>
        <w:jc w:val="both"/>
        <w:rPr>
          <w:rFonts w:ascii="Times New Roman" w:hAnsi="Times New Roman" w:cs="Times New Roman"/>
          <w:lang w:val="tr-TR"/>
        </w:rPr>
      </w:pPr>
      <w:r>
        <w:rPr>
          <w:rFonts w:ascii="Times New Roman" w:hAnsi="Times New Roman" w:cs="Times New Roman"/>
          <w:lang w:val="tr-TR"/>
        </w:rPr>
        <w:t xml:space="preserve">Titrasyon yöntemi yalnızca okul laboratuvarlarında değil, günlük hayatı doğrudan ilgilendiren pek çok alanda kullanılır. Gıda sanayisinde meyve sularının ve sirkenin asitliği, süt endüstrisinde sütün tazeliğini gösteren asitlik derecesi titrasyonla belirlenir. Su arıtma tesislerinde suyun sertliği ve alkaliliği, ilaç sanayisinde ise etken madde miktarı titrasyon yöntemleriyle kontrol edilir. Günümüzde birçok laboratuvarda pH metre ile çalışan otomatik titratörler kullanılmaktadır.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8"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 xml:space="preserve">Sıra Sizde 2.11.</w:t>
      </w:r>
    </w:p>
    <w:p>
      <w:pPr>
        <w:jc w:val="both"/>
        <w:rPr>
          <w:rFonts w:ascii="Times New Roman" w:hAnsi="Times New Roman" w:cs="Times New Roman"/>
          <w:lang w:val="tr-TR"/>
        </w:rPr>
      </w:pPr>
      <w:r>
        <w:rPr>
          <w:rFonts w:ascii="Times New Roman" w:hAnsi="Times New Roman" w:cs="Times New Roman"/>
          <w:lang w:val="tr-TR"/>
        </w:rPr>
        <w:t xml:space="preserve">Aşağıdaki soruları yanıtlayınız.</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10,0 mL HCl çözeltisini titre etmek için 0,200 M NaOH çözeltisinden 12,5 mL harcanmıştır. HCl çözeltisinin derişimini hesaplayınız.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25,0 mL NaOH çözeltisini titre etmek için 0,100 M H</w:t>
      </w:r>
      <w:r>
        <w:rPr>
          <w:rFonts w:ascii="Times New Roman" w:hAnsi="Times New Roman" w:cs="Times New Roman"/>
          <w:vertAlign w:val="subscript"/>
          <w:lang w:val="tr-TR"/>
        </w:rPr>
        <w:t xml:space="preserve">2</w:t>
      </w:r>
      <w:r>
        <w:rPr>
          <w:rFonts w:ascii="Times New Roman" w:hAnsi="Times New Roman" w:cs="Times New Roman"/>
          <w:lang w:val="tr-TR"/>
        </w:rPr>
        <w:t xml:space="preserve">SO</w:t>
      </w:r>
      <w:r>
        <w:rPr>
          <w:rFonts w:ascii="Times New Roman" w:hAnsi="Times New Roman" w:cs="Times New Roman"/>
          <w:vertAlign w:val="subscript"/>
          <w:lang w:val="tr-TR"/>
        </w:rPr>
        <w:t xml:space="preserve">4</w:t>
      </w:r>
      <w:r>
        <w:rPr>
          <w:rFonts w:ascii="Times New Roman" w:hAnsi="Times New Roman" w:cs="Times New Roman"/>
          <w:lang w:val="tr-TR"/>
        </w:rPr>
        <w:t xml:space="preserve"> çözeltisinden 15,0 mL harcanmıştır. NaOH çözeltisinin derişimini hesaplayınız.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20,0 mL Ca(OH)</w:t>
      </w:r>
      <w:r>
        <w:rPr>
          <w:rFonts w:ascii="Times New Roman" w:hAnsi="Times New Roman" w:cs="Times New Roman"/>
          <w:vertAlign w:val="subscript"/>
          <w:lang w:val="tr-TR"/>
        </w:rPr>
        <w:t xml:space="preserve">2</w:t>
      </w:r>
      <w:r>
        <w:rPr>
          <w:rFonts w:ascii="Times New Roman" w:hAnsi="Times New Roman" w:cs="Times New Roman"/>
          <w:lang w:val="tr-TR"/>
        </w:rPr>
        <w:t xml:space="preserve"> çözeltisi 0,050 M HNO</w:t>
      </w:r>
      <w:r>
        <w:rPr>
          <w:rFonts w:ascii="Times New Roman" w:hAnsi="Times New Roman" w:cs="Times New Roman"/>
          <w:vertAlign w:val="subscript"/>
          <w:lang w:val="tr-TR"/>
        </w:rPr>
        <w:t xml:space="preserve">3</w:t>
      </w:r>
      <w:r>
        <w:rPr>
          <w:rFonts w:ascii="Times New Roman" w:hAnsi="Times New Roman" w:cs="Times New Roman"/>
          <w:lang w:val="tr-TR"/>
        </w:rPr>
        <w:t xml:space="preserve"> çözeltisi ile titre ediliyor. Dönüm noktasına kadar 32,0 mL asit harcandığına göre Ca(OH)</w:t>
      </w:r>
      <w:r>
        <w:rPr>
          <w:rFonts w:ascii="Times New Roman" w:hAnsi="Times New Roman" w:cs="Times New Roman"/>
          <w:vertAlign w:val="subscript"/>
          <w:lang w:val="tr-TR"/>
        </w:rPr>
        <w:t xml:space="preserve">2</w:t>
      </w:r>
      <w:r>
        <w:rPr>
          <w:rFonts w:ascii="Times New Roman" w:hAnsi="Times New Roman" w:cs="Times New Roman"/>
          <w:lang w:val="tr-TR"/>
        </w:rPr>
        <w:t xml:space="preserve"> çözeltisinin derişimini hesaplayınız.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4. Grafik A’daki titrasyon eğrisini kullanarak aşağıdaki soruları yanıtlayınız.</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Eş değerlik noktasına kadar harcanan NaOH hacmi ve bu noktadaki pH değeri kaçtır?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10 mL NaOH eklendiğinde çözelti asidik mi bazik mi? Nedenini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Bu titrasyonda kullanılabilecek bir indikatör seçerek gerekçesini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9"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Standart çözelti kullanarak bilinmeyen bir derişimi bulabileceğiniz sanal titrasyon laboratuvarına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10"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Sanal laboratuvar (Kim11.2.11)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Sanal laboratuvar (Kim11.2.11)</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Kaynakça</w:t>
      </w:r>
    </w:p>
    <w:p>
      <w:pPr>
        <w:jc w:val="both"/>
        <w:rPr>
          <w:rFonts w:ascii="Times New Roman" w:hAnsi="Times New Roman" w:cs="Times New Roman"/>
          <w:lang w:val="tr-TR"/>
        </w:rPr>
      </w:pPr>
      <w:r>
        <w:rPr>
          <w:rFonts w:ascii="Times New Roman" w:hAnsi="Times New Roman" w:cs="Times New Roman"/>
          <w:lang w:val="tr-TR"/>
        </w:rPr>
        <w:t xml:space="preserve">Petrucci, Herring, Madura, Bissonnette, General Chemistry (asit-baz titrasyonları bölümü)</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Grafik A ve Tablo A’daki değerler tarafımızca hesaplanmış öğretim amaçlı verilerdir. İndikatör dönüm aralıkları: fenolftalein 8,2-10,0; metil oranj 3,1-4,4.</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xmlns:a="http://schemas.openxmlformats.org/drawingml/2006/main" xmlns:pic="http://schemas.openxmlformats.org/drawingml/2006/picture" w:numId="51">
    <w:abstractNumId w:val="0"/>
    <w:lvlOverride w:ilvl="0">
      <w:startOverride w:val="1"/>
    </w:lvlOverride>
  </w:num>
  <w:num xmlns:a="http://schemas.openxmlformats.org/drawingml/2006/main" xmlns:pic="http://schemas.openxmlformats.org/drawingml/2006/picture" w:numId="52">
    <w:abstractNumId w:val="0"/>
    <w:lvlOverride w:ilvl="0">
      <w:startOverride w:val="1"/>
    </w:lvlOverride>
  </w:num>
  <w:num xmlns:a="http://schemas.openxmlformats.org/drawingml/2006/main" xmlns:pic="http://schemas.openxmlformats.org/drawingml/2006/picture" w:numId="53">
    <w:abstractNumId w:val="3"/>
    <w:lvlOverride w:ilvl="0">
      <w:startOverride w:val="1"/>
    </w:lvlOverride>
  </w:num>
  <w:num xmlns:a="http://schemas.openxmlformats.org/drawingml/2006/main" xmlns:pic="http://schemas.openxmlformats.org/drawingml/2006/picture" w:numId="54">
    <w:abstractNumId w:val="2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K1" Type="http://schemas.openxmlformats.org/officeDocument/2006/relationships/image" Target="media/k11_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