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2.2.3. Asitlerin ve Bazların Kuvveti</w:t>
      </w:r>
    </w:p>
    <w:p>
      <w:pPr>
        <w:jc w:val="both"/>
        <w:rPr>
          <w:rFonts w:ascii="Times New Roman" w:hAnsi="Times New Roman" w:cs="Times New Roman"/>
          <w:lang w:val="tr-TR"/>
        </w:rPr>
      </w:pPr>
      <w:r>
        <w:rPr>
          <w:rFonts w:ascii="Times New Roman" w:hAnsi="Times New Roman" w:cs="Times New Roman"/>
          <w:lang w:val="tr-TR"/>
        </w:rPr>
        <w:t xml:space="preserve">Hidroklorik asit (HCl) metal yüzeylerin temizlenmesinde kullanılır ve cilde temas ettiğinde ciddi yanıklara neden olabilir. Salatalarımıza kattığımız sirke ise asetik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içermesine rağmen güvenle tüketilir (Görsel A). Benzer şekilde lavabo açıcılarda bulunan sodyum hidroksit (NaOH) cildi tahriş ederken cam temizleyicilerde kullanılan amonyak (NH</w:t>
      </w:r>
      <w:r>
        <w:rPr>
          <w:rFonts w:ascii="Times New Roman" w:hAnsi="Times New Roman" w:cs="Times New Roman"/>
          <w:vertAlign w:val="subscript"/>
          <w:lang w:val="tr-TR"/>
        </w:rPr>
        <w:t xml:space="preserve">3</w:t>
      </w:r>
      <w:r>
        <w:rPr>
          <w:rFonts w:ascii="Times New Roman" w:hAnsi="Times New Roman" w:cs="Times New Roman"/>
          <w:lang w:val="tr-TR"/>
        </w:rPr>
        <w:t xml:space="preserve">) cildi çok daha az tahriş eder (Görsel B). Aynı derişimdeki iki asit çözeltisinden biri neden diğerinden daha “güçlü” etki gösterir? Asitlerin ve bazların kuvveti neye bağlıdır? Bir etkinlik yaparak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Cam şişede sirke ve yanında taze bir salata kâsesi.</w:t>
            </w:r>
          </w:p>
          <w:p>
            <w:pPr>
              <w:jc w:val="both"/>
              <w:rPr>
                <w:rFonts w:ascii="Times New Roman" w:hAnsi="Times New Roman" w:cs="Times New Roman"/>
                <w:lang w:val="tr-TR"/>
              </w:rPr>
            </w:pPr>
            <w:r>
              <w:rPr>
                <w:rFonts w:ascii="Times New Roman" w:hAnsi="Times New Roman" w:cs="Times New Roman"/>
                <w:lang w:val="tr-TR"/>
              </w:rPr>
              <w:t xml:space="preserve">Shutter ID: 2603514173 (fotoğraf) — Pouring apple vinegar onto salad</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Sirke ve salata</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Etiketsiz ya da markası görünmeyen çeşitli temizlik ürünü şişeleri (lavabo açıcı, cam temizleyici).</w:t>
            </w:r>
          </w:p>
          <w:p>
            <w:pPr>
              <w:jc w:val="both"/>
              <w:rPr>
                <w:rFonts w:ascii="Times New Roman" w:hAnsi="Times New Roman" w:cs="Times New Roman"/>
                <w:lang w:val="tr-TR"/>
              </w:rPr>
            </w:pPr>
            <w:r>
              <w:rPr>
                <w:rFonts w:ascii="Times New Roman" w:hAnsi="Times New Roman" w:cs="Times New Roman"/>
                <w:lang w:val="tr-TR"/>
              </w:rPr>
              <w:t xml:space="preserve">Shutter ID: 2838916677 (fotoğraf) — Unbranded household cleaning product bottles on shelves</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Temizlik ürünleri</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2.8.</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asit ve baz çözeltileriyle çalışırken gözlük, eldiven, önlük uyarıları eklensin.</w:t>
      </w:r>
    </w:p>
    <w:p>
      <w:pPr>
        <w:jc w:val="both"/>
        <w:rPr>
          <w:rFonts w:ascii="Times New Roman" w:hAnsi="Times New Roman" w:cs="Times New Roman"/>
          <w:lang w:val="tr-TR"/>
        </w:rPr>
      </w:pPr>
      <w:r>
        <w:rPr>
          <w:rFonts w:ascii="Times New Roman" w:hAnsi="Times New Roman" w:cs="Times New Roman"/>
          <w:b/>
          <w:bCs/>
          <w:lang w:val="tr-TR"/>
        </w:rPr>
        <w:t xml:space="preserve">1. Aşama: Araştırma Soruları ve Modeller</w:t>
      </w:r>
    </w:p>
    <w:p>
      <w:pPr>
        <w:jc w:val="both"/>
        <w:rPr>
          <w:rFonts w:ascii="Times New Roman" w:hAnsi="Times New Roman" w:cs="Times New Roman"/>
          <w:lang w:val="tr-TR"/>
        </w:rPr>
      </w:pPr>
      <w:r>
        <w:rPr>
          <w:rFonts w:ascii="Times New Roman" w:hAnsi="Times New Roman" w:cs="Times New Roman"/>
          <w:lang w:val="tr-TR"/>
        </w:rPr>
        <w:t xml:space="preserve">Aşağıdaki tabloda 25 °C’de 0,10 M derişimdeki bazı asit ve baz çözeltilerinin iyonlaşma yüzdeleri ve saf suda iyonlaşma denklemleri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5200"/>
        <w:gridCol w:w="2200"/>
      </w:tblGrid>
      <w:tr>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Madde</w:t>
            </w:r>
          </w:p>
        </w:tc>
        <w:tc>
          <w:tcPr>
            <w:tcW w:w="5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Saf suda iyonlaşma denklemi</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İyonlaşma yüzdesi (%)</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HCl</w:t>
            </w:r>
          </w:p>
        </w:tc>
        <w:tc>
          <w:tcPr>
            <w:tcW w:w="5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HCl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Cl</w:t>
            </w:r>
            <w:r>
              <w:rPr>
                <w:rFonts w:ascii="Times New Roman" w:hAnsi="Times New Roman" w:cs="Times New Roman"/>
                <w:vertAlign w:val="superscript"/>
                <w:lang w:val="tr-TR"/>
              </w:rPr>
              <w:t xml:space="preserve">−</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HNO</w:t>
            </w:r>
            <w:r>
              <w:rPr>
                <w:rFonts w:ascii="Times New Roman" w:hAnsi="Times New Roman" w:cs="Times New Roman"/>
                <w:vertAlign w:val="subscript"/>
                <w:lang w:val="tr-TR"/>
              </w:rPr>
              <w:t xml:space="preserve">3</w:t>
            </w:r>
          </w:p>
        </w:tc>
        <w:tc>
          <w:tcPr>
            <w:tcW w:w="5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HNO</w:t>
            </w:r>
            <w:r>
              <w:rPr>
                <w:rFonts w:ascii="Times New Roman" w:hAnsi="Times New Roman" w:cs="Times New Roman"/>
                <w:vertAlign w:val="subscript"/>
                <w:lang w:val="tr-TR"/>
              </w:rPr>
              <w:t xml:space="preserve">3</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HF</w:t>
            </w:r>
          </w:p>
        </w:tc>
        <w:tc>
          <w:tcPr>
            <w:tcW w:w="5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HF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F</w:t>
            </w:r>
            <w:r>
              <w:rPr>
                <w:rFonts w:ascii="Times New Roman" w:hAnsi="Times New Roman" w:cs="Times New Roman"/>
                <w:vertAlign w:val="superscript"/>
                <w:lang w:val="tr-TR"/>
              </w:rPr>
              <w:t xml:space="preserve">−</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7,9</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w:t>
            </w:r>
          </w:p>
        </w:tc>
        <w:tc>
          <w:tcPr>
            <w:tcW w:w="5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w:t>
            </w:r>
            <w:r>
              <w:rPr>
                <w:rFonts w:ascii="Times New Roman" w:hAnsi="Times New Roman" w:cs="Times New Roman"/>
                <w:vertAlign w:val="superscript"/>
                <w:lang w:val="tr-TR"/>
              </w:rPr>
              <w:t xml:space="preserve">−</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NaOH</w:t>
            </w:r>
          </w:p>
        </w:tc>
        <w:tc>
          <w:tcPr>
            <w:tcW w:w="5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NaOH → Na</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p>
        </w:tc>
        <w:tc>
          <w:tcPr>
            <w:tcW w:w="5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w:t>
            </w: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Verileri kullanarak asitlerin ve bazların kuvvetlerinin belirlenmesine yönelik araştırma soruları oluşturunuz. Çeşitli fikir ve argümanlara açık olunuz; merakınızın peşinden gidiniz.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HCl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çözeltileri için iyonlaşma yüzdelerini dikkate alarak alt mikro seviyede birer model çiziniz. Modelinizde su moleküllerini göstermenize gerek yoktur.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6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Araştırmanın Gerçekleştirilmesi</w:t>
      </w:r>
    </w:p>
    <w:p>
      <w:pPr>
        <w:jc w:val="both"/>
        <w:rPr>
          <w:rFonts w:ascii="Times New Roman" w:hAnsi="Times New Roman" w:cs="Times New Roman"/>
          <w:lang w:val="tr-TR"/>
        </w:rPr>
      </w:pPr>
      <w:r>
        <w:rPr>
          <w:rFonts w:ascii="Times New Roman" w:hAnsi="Times New Roman" w:cs="Times New Roman"/>
          <w:lang w:val="tr-TR"/>
        </w:rPr>
        <w:t xml:space="preserve">Grubunuzla birlikte aynı sıcaklık ve derişimde (0,10 M) hazırlanmış HCl,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NaOH 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çözeltilerinin pH değerlerini pH metre (ya da pH kâğıdı) ile, elektriksel iletkenliklerini iletkenlik ölçer (ya da ampullü basit bir iletkenlik düzeneği) ile ölçünüz. Okulunuzda bu imkân yoksa ölçümleri karekoddaki sanal laboratuvarda yapabilirsiniz. Ölçümlerinizi tabloya kaydediniz.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1400"/>
        <w:gridCol w:w="3600"/>
        <w:gridCol w:w="1800"/>
      </w:tblGrid>
      <w:tr>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Çözelti (0,10 M)</w:t>
            </w:r>
          </w:p>
        </w:tc>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pH</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İletkenlik (ampul parlaklığı ya da µS/cm)</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Kuvvetli/Zayıf</w:t>
            </w:r>
          </w:p>
        </w:tc>
      </w:tr>
      <w:tr>
        <w:trPr>
          <w:trHeight w:val="500"/>
        </w:trPr>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HCl</w:t>
            </w:r>
          </w:p>
        </w:tc>
        <w:tc>
          <w:tcPr>
            <w:tcW w:w="1400" w:type="dxa"/>
            <w:vAlign w:val="center"/>
          </w:tcPr>
          <w:p>
            <w:pPr>
              <w:jc w:val="center"/>
              <w:rPr>
                <w:rFonts w:ascii="Times New Roman" w:hAnsi="Times New Roman" w:cs="Times New Roman"/>
                <w:lang w:val="tr-TR"/>
              </w:rPr>
            </w:pPr>
          </w:p>
        </w:tc>
        <w:tc>
          <w:tcPr>
            <w:tcW w:w="36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00"/>
        </w:trPr>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w:t>
            </w:r>
          </w:p>
        </w:tc>
        <w:tc>
          <w:tcPr>
            <w:tcW w:w="1400" w:type="dxa"/>
            <w:vAlign w:val="center"/>
          </w:tcPr>
          <w:p>
            <w:pPr>
              <w:jc w:val="center"/>
              <w:rPr>
                <w:rFonts w:ascii="Times New Roman" w:hAnsi="Times New Roman" w:cs="Times New Roman"/>
                <w:lang w:val="tr-TR"/>
              </w:rPr>
            </w:pPr>
          </w:p>
        </w:tc>
        <w:tc>
          <w:tcPr>
            <w:tcW w:w="36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00"/>
        </w:trPr>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NaOH</w:t>
            </w:r>
          </w:p>
        </w:tc>
        <w:tc>
          <w:tcPr>
            <w:tcW w:w="1400" w:type="dxa"/>
            <w:vAlign w:val="center"/>
          </w:tcPr>
          <w:p>
            <w:pPr>
              <w:jc w:val="center"/>
              <w:rPr>
                <w:rFonts w:ascii="Times New Roman" w:hAnsi="Times New Roman" w:cs="Times New Roman"/>
                <w:lang w:val="tr-TR"/>
              </w:rPr>
            </w:pPr>
          </w:p>
        </w:tc>
        <w:tc>
          <w:tcPr>
            <w:tcW w:w="36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00"/>
        </w:trPr>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p>
        </w:tc>
        <w:tc>
          <w:tcPr>
            <w:tcW w:w="1400" w:type="dxa"/>
            <w:vAlign w:val="center"/>
          </w:tcPr>
          <w:p>
            <w:pPr>
              <w:jc w:val="center"/>
              <w:rPr>
                <w:rFonts w:ascii="Times New Roman" w:hAnsi="Times New Roman" w:cs="Times New Roman"/>
                <w:lang w:val="tr-TR"/>
              </w:rPr>
            </w:pPr>
          </w:p>
        </w:tc>
        <w:tc>
          <w:tcPr>
            <w:tcW w:w="36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Ölçtüğünüz pH ve iletkenlik değerlerini iyonlaşma yüzdeleriyle ilişkilendirerek asitlerin ve bazların kuvvetlerini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Açıklamalarınızı alt mikro ve sembolik seviyede gösterimlerle (denklem ve modeller) destekleyiniz. Açıklamalarınızı arkadaşlarınızla paylaşırken etkili iletişim kurunuz.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Açıklamalarınızı bilimsel bilgilerle karşılaştırarak değerlendiriniz. Modelinizde değiştirmeniz gereken noktalar var mı?</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 Aynı formu kendinizi değerlendirmek için de kullanabilirsiniz.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Asitlerin ve bazların kuvveti, sulu çözeltilerde iyonlaşma derecelerine bağlıdır. Suda tamamen (yaklaşık %100) iyonlaşan asitlere </w:t>
      </w:r>
      <w:r>
        <w:rPr>
          <w:rFonts w:ascii="Times New Roman" w:hAnsi="Times New Roman" w:cs="Times New Roman"/>
          <w:b/>
          <w:bCs/>
          <w:lang w:val="tr-TR"/>
        </w:rPr>
        <w:t xml:space="preserve">kuvvetli asit</w:t>
      </w:r>
      <w:r>
        <w:rPr>
          <w:rFonts w:ascii="Times New Roman" w:hAnsi="Times New Roman" w:cs="Times New Roman"/>
          <w:lang w:val="tr-TR"/>
        </w:rPr>
        <w:t xml:space="preserve">, kısmen iyonlaşan asitlere </w:t>
      </w:r>
      <w:r>
        <w:rPr>
          <w:rFonts w:ascii="Times New Roman" w:hAnsi="Times New Roman" w:cs="Times New Roman"/>
          <w:b/>
          <w:bCs/>
          <w:lang w:val="tr-TR"/>
        </w:rPr>
        <w:t xml:space="preserve">zayıf asit</w:t>
      </w:r>
      <w:r>
        <w:rPr>
          <w:rFonts w:ascii="Times New Roman" w:hAnsi="Times New Roman" w:cs="Times New Roman"/>
          <w:lang w:val="tr-TR"/>
        </w:rPr>
        <w:t xml:space="preserve"> denir. Bazlar için de aynı ölçüt geçerlidir: Çözündüğünde birimlerinin hemen hepsi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verecek şekilde ayrışan bazlar </w:t>
      </w:r>
      <w:r>
        <w:rPr>
          <w:rFonts w:ascii="Times New Roman" w:hAnsi="Times New Roman" w:cs="Times New Roman"/>
          <w:b/>
          <w:bCs/>
          <w:lang w:val="tr-TR"/>
        </w:rPr>
        <w:t xml:space="preserve">kuvvetli baz</w:t>
      </w:r>
      <w:r>
        <w:rPr>
          <w:rFonts w:ascii="Times New Roman" w:hAnsi="Times New Roman" w:cs="Times New Roman"/>
          <w:lang w:val="tr-TR"/>
        </w:rPr>
        <w:t xml:space="preserve">, bu ayrışmayı ancak sınırlı ölçüde gerçekleştiren bazlar </w:t>
      </w:r>
      <w:r>
        <w:rPr>
          <w:rFonts w:ascii="Times New Roman" w:hAnsi="Times New Roman" w:cs="Times New Roman"/>
          <w:b/>
          <w:bCs/>
          <w:lang w:val="tr-TR"/>
        </w:rPr>
        <w:t xml:space="preserve">zayıf baz</w:t>
      </w:r>
      <w:r>
        <w:rPr>
          <w:rFonts w:ascii="Times New Roman" w:hAnsi="Times New Roman" w:cs="Times New Roman"/>
          <w:lang w:val="tr-TR"/>
        </w:rPr>
        <w:t xml:space="preserve"> olarak sınıflandırılır. Kuvvetli asitlerin iyonlaşması tek yönlü ok (→), zayıf asitlerin iyonlaşması ise denge oku (⇌) ile gösterilir.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620800"/>
            <wp:docPr id="900003" name="Grafik 900003" descr="İyonlaşma yüzdeleri"/>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4680000" cy="26208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0,10 M sulu çözeltilerde bazı asit ve bazların iyonlaşma yüzdeleri</w:t>
      </w:r>
    </w:p>
    <w:p>
      <w:pPr>
        <w:jc w:val="both"/>
        <w:rPr>
          <w:rFonts w:ascii="Times New Roman" w:hAnsi="Times New Roman" w:cs="Times New Roman"/>
          <w:lang w:val="tr-TR"/>
        </w:rPr>
      </w:pPr>
      <w:r>
        <w:rPr>
          <w:rFonts w:ascii="Times New Roman" w:hAnsi="Times New Roman" w:cs="Times New Roman"/>
          <w:lang w:val="tr-TR"/>
        </w:rPr>
        <w:t xml:space="preserve">Aynı derişimdeki bir kuvvetli asit çözeltisinde zayıf asit çözeltisine göre çok daha fazla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bulunur (Görsel C). Bu nedenle 0,10 M HCl çözeltisinin pH değeri 1,0 iken 0,10 M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çözeltisinin pH değeri yaklaşık 2,9’dur. Çözeltideki iyon sayısı fazla olduğu için kuvvetli asit ve baz çözeltilerinin elektrik iletkenliği de zayıf asit ve baz çözeltilerine göre daha yüksektir. Kuvvetli asit ve bazların sulu çözeltileri </w:t>
      </w:r>
      <w:r>
        <w:rPr>
          <w:rFonts w:ascii="Times New Roman" w:hAnsi="Times New Roman" w:cs="Times New Roman"/>
          <w:b/>
          <w:bCs/>
          <w:lang w:val="tr-TR"/>
        </w:rPr>
        <w:t xml:space="preserve">kuvvetli elektrolit</w:t>
      </w:r>
      <w:r>
        <w:rPr>
          <w:rFonts w:ascii="Times New Roman" w:hAnsi="Times New Roman" w:cs="Times New Roman"/>
          <w:lang w:val="tr-TR"/>
        </w:rPr>
        <w:t xml:space="preserve">, zayıf asit ve bazların sulu çözeltileri ise </w:t>
      </w:r>
      <w:r>
        <w:rPr>
          <w:rFonts w:ascii="Times New Roman" w:hAnsi="Times New Roman" w:cs="Times New Roman"/>
          <w:b/>
          <w:bCs/>
          <w:lang w:val="tr-TR"/>
        </w:rPr>
        <w:t xml:space="preserve">zayıf elektrolittir</w:t>
      </w:r>
      <w:r>
        <w:rPr>
          <w:rFonts w:ascii="Times New Roman" w:hAnsi="Times New Roman" w:cs="Times New Roman"/>
          <w:lang w:val="tr-TR"/>
        </w:rPr>
        <w:t xml:space="preserve">.</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3070618"/>
            <wp:docPr id="900004" name="Grafik 900004" descr="Kuvvetli ve zayıf asit modeli"/>
            <wp:cNvGraphicFramePr>
              <a:graphicFrameLocks noChangeAspect="1"/>
            </wp:cNvGraphicFramePr>
            <a:graphic>
              <a:graphicData uri="http://schemas.openxmlformats.org/drawingml/2006/picture">
                <pic:pic>
                  <pic:nvPicPr>
                    <pic:cNvPr id="900004" name="k11_900004.png"/>
                    <pic:cNvPicPr/>
                  </pic:nvPicPr>
                  <pic:blipFill>
                    <a:blip r:embed="rIdK2"/>
                    <a:stretch>
                      <a:fillRect/>
                    </a:stretch>
                  </pic:blipFill>
                  <pic:spPr>
                    <a:xfrm>
                      <a:off x="0" y="0"/>
                      <a:ext cx="4680000" cy="3070618"/>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Aynı derişimdeki kuvvetli asit (HCl) ve zayıf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çözeltilerinin alt mikro gösterimi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Taslak modeldir; su molekülleri gösterilmemiştir, yayınevi vektörel olarak yeniden çizebilir.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Yaygın kuvvetli asitler ve kuvvetli bazlar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Kuvvetli asitler</w:t>
            </w:r>
          </w:p>
        </w:tc>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Kuvvetli bazlar</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HCl, HBr, HI</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LiOH, NaOH, KOH</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HNO</w:t>
            </w:r>
            <w:r>
              <w:rPr>
                <w:rFonts w:ascii="Times New Roman" w:hAnsi="Times New Roman" w:cs="Times New Roman"/>
                <w:vertAlign w:val="subscript"/>
                <w:lang w:val="tr-TR"/>
              </w:rPr>
              <w:t xml:space="preserve">3</w:t>
            </w:r>
          </w:p>
        </w:tc>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Ca(OH)</w:t>
            </w:r>
            <w:r>
              <w:rPr>
                <w:rFonts w:ascii="Times New Roman" w:hAnsi="Times New Roman" w:cs="Times New Roman"/>
                <w:vertAlign w:val="subscript"/>
                <w:lang w:val="tr-TR"/>
              </w:rPr>
              <w:t xml:space="preserve">2</w:t>
            </w:r>
            <w:r>
              <w:rPr>
                <w:rFonts w:ascii="Times New Roman" w:hAnsi="Times New Roman" w:cs="Times New Roman"/>
                <w:lang w:val="tr-TR"/>
              </w:rPr>
              <w:t xml:space="preserve">, Sr(OH)</w:t>
            </w:r>
            <w:r>
              <w:rPr>
                <w:rFonts w:ascii="Times New Roman" w:hAnsi="Times New Roman" w:cs="Times New Roman"/>
                <w:vertAlign w:val="subscript"/>
                <w:lang w:val="tr-TR"/>
              </w:rPr>
              <w:t xml:space="preserve">2</w:t>
            </w:r>
            <w:r>
              <w:rPr>
                <w:rFonts w:ascii="Times New Roman" w:hAnsi="Times New Roman" w:cs="Times New Roman"/>
                <w:lang w:val="tr-TR"/>
              </w:rPr>
              <w:t xml:space="preserve">, Ba(OH)</w:t>
            </w:r>
            <w:r>
              <w:rPr>
                <w:rFonts w:ascii="Times New Roman" w:hAnsi="Times New Roman" w:cs="Times New Roman"/>
                <w:vertAlign w:val="subscript"/>
                <w:lang w:val="tr-TR"/>
              </w:rPr>
              <w:t xml:space="preserve">2</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(birinci iyonlaşma), HClO</w:t>
            </w:r>
            <w:r>
              <w:rPr>
                <w:rFonts w:ascii="Times New Roman" w:hAnsi="Times New Roman" w:cs="Times New Roman"/>
                <w:vertAlign w:val="subscript"/>
                <w:lang w:val="tr-TR"/>
              </w:rPr>
              <w:t xml:space="preserve">4</w:t>
            </w:r>
          </w:p>
        </w:tc>
        <w:tc>
          <w:tcPr>
            <w:tcW w:w="45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Zayıf asit ve bazların iyonlaşması bir denge tepkimesi olduğu için bu dengelerin denge sabitleri asit ve bazların kuvvetini karşılaştırmada kullanılır. Bir zayıf asidin iyonlaşma tepkimesinin denge sabitine </w:t>
      </w:r>
      <w:r>
        <w:rPr>
          <w:rFonts w:ascii="Times New Roman" w:hAnsi="Times New Roman" w:cs="Times New Roman"/>
          <w:b/>
          <w:bCs/>
          <w:lang w:val="tr-TR"/>
        </w:rPr>
        <w:t xml:space="preserve">asitlik sabiti (K</w:t>
      </w:r>
      <w:r>
        <w:rPr>
          <w:rFonts w:ascii="Times New Roman" w:hAnsi="Times New Roman" w:cs="Times New Roman"/>
          <w:b/>
          <w:bCs/>
          <w:vertAlign w:val="subscript"/>
          <w:lang w:val="tr-TR"/>
        </w:rPr>
        <w:t xml:space="preserve">a</w:t>
      </w:r>
      <w:r>
        <w:rPr>
          <w:rFonts w:ascii="Times New Roman" w:hAnsi="Times New Roman" w:cs="Times New Roman"/>
          <w:b/>
          <w:bCs/>
          <w:lang w:val="tr-TR"/>
        </w:rPr>
        <w:t xml:space="preserve">)</w:t>
      </w:r>
      <w:r>
        <w:rPr>
          <w:rFonts w:ascii="Times New Roman" w:hAnsi="Times New Roman" w:cs="Times New Roman"/>
          <w:lang w:val="tr-TR"/>
        </w:rPr>
        <w:t xml:space="preserve">, bir zayıf bazın iyonlaşma tepkimesinin denge sabitine </w:t>
      </w:r>
      <w:r>
        <w:rPr>
          <w:rFonts w:ascii="Times New Roman" w:hAnsi="Times New Roman" w:cs="Times New Roman"/>
          <w:b/>
          <w:bCs/>
          <w:lang w:val="tr-TR"/>
        </w:rPr>
        <w:t xml:space="preserve">bazlık sabiti (K</w:t>
      </w:r>
      <w:r>
        <w:rPr>
          <w:rFonts w:ascii="Times New Roman" w:hAnsi="Times New Roman" w:cs="Times New Roman"/>
          <w:b/>
          <w:bCs/>
          <w:vertAlign w:val="subscript"/>
          <w:lang w:val="tr-TR"/>
        </w:rPr>
        <w:t xml:space="preserve">b</w:t>
      </w:r>
      <w:r>
        <w:rPr>
          <w:rFonts w:ascii="Times New Roman" w:hAnsi="Times New Roman" w:cs="Times New Roman"/>
          <w:b/>
          <w:bCs/>
          <w:lang w:val="tr-TR"/>
        </w:rPr>
        <w:t xml:space="preserve">)</w:t>
      </w:r>
      <w:r>
        <w:rPr>
          <w:rFonts w:ascii="Times New Roman" w:hAnsi="Times New Roman" w:cs="Times New Roman"/>
          <w:lang w:val="tr-TR"/>
        </w:rPr>
        <w:t xml:space="preserve"> denir. K</w:t>
      </w:r>
      <w:r>
        <w:rPr>
          <w:rFonts w:ascii="Times New Roman" w:hAnsi="Times New Roman" w:cs="Times New Roman"/>
          <w:vertAlign w:val="subscript"/>
          <w:lang w:val="tr-TR"/>
        </w:rPr>
        <w:t xml:space="preserve">a</w:t>
      </w:r>
      <w:r>
        <w:rPr>
          <w:rFonts w:ascii="Times New Roman" w:hAnsi="Times New Roman" w:cs="Times New Roman"/>
          <w:lang w:val="tr-TR"/>
        </w:rPr>
        <w:t xml:space="preserve"> ya da K</w:t>
      </w:r>
      <w:r>
        <w:rPr>
          <w:rFonts w:ascii="Times New Roman" w:hAnsi="Times New Roman" w:cs="Times New Roman"/>
          <w:vertAlign w:val="subscript"/>
          <w:lang w:val="tr-TR"/>
        </w:rPr>
        <w:t xml:space="preserve">b</w:t>
      </w:r>
      <w:r>
        <w:rPr>
          <w:rFonts w:ascii="Times New Roman" w:hAnsi="Times New Roman" w:cs="Times New Roman"/>
          <w:lang w:val="tr-TR"/>
        </w:rPr>
        <w:t xml:space="preserve"> değeri büyüdükçe asidin ya da bazın kuvveti artar.</w:t>
      </w:r>
    </w:p>
    <w:p>
      <w:pPr>
        <w:jc w:val="center"/>
        <w:rPr>
          <w:rFonts w:ascii="Times New Roman" w:hAnsi="Times New Roman" w:cs="Times New Roman"/>
          <w:lang w:val="tr-TR"/>
        </w:rPr>
      </w:pPr>
      <w:r>
        <w:rPr>
          <w:rFonts w:ascii="Times New Roman" w:hAnsi="Times New Roman" w:cs="Times New Roman"/>
          <w:lang w:val="tr-TR"/>
        </w:rPr>
        <w:t xml:space="preserve">HA(suda)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A</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center"/>
        <w:rPr>
          <w:rFonts w:ascii="Times New Roman" w:hAnsi="Times New Roman" w:cs="Times New Roman"/>
          <w:lang w:val="tr-TR"/>
        </w:rPr>
      </w:pPr>
      <m:oMathPara>
        <m:oMath>
          <m:sSub>
            <m:e>
              <m:r>
                <m:rPr>
                  <m:sty m:val="p"/>
                </m:rPr>
                <w:rPr>
                  <w:rFonts w:ascii="Cambria Math" w:hAnsi="Cambria Math" w:cs="Cambria Math"/>
                  <w:lang w:val="tr-TR"/>
                </w:rPr>
                <w:t xml:space="preserve">K</w:t>
              </m:r>
            </m:e>
            <m:sub>
              <m:r>
                <m:rPr>
                  <m:sty m:val="p"/>
                </m:rPr>
                <w:rPr>
                  <w:rFonts w:ascii="Cambria Math" w:hAnsi="Cambria Math" w:cs="Cambria Math"/>
                  <w:lang w:val="tr-TR"/>
                </w:rPr>
                <w:t xml:space="preserve">a</w:t>
              </m:r>
            </m:sub>
          </m:sSub>
          <m:r>
            <m:rPr>
              <m:sty m:val="p"/>
            </m:rPr>
            <w:rPr>
              <w:rFonts w:ascii="Cambria Math" w:hAnsi="Cambria Math" w:cs="Cambria Math"/>
              <w:lang w:val="tr-TR"/>
            </w:rPr>
            <w:t xml:space="preserve"> = </w:t>
          </m:r>
          <m:f>
            <m:num>
              <m:r>
                <m:rPr>
                  <m:sty m:val="p"/>
                </m:rPr>
                <w:rPr>
                  <w:rFonts w:ascii="Cambria Math" w:hAnsi="Cambria Math" w:cs="Cambria Math"/>
                  <w:lang w:val="tr-TR"/>
                </w:rPr>
                <w:t xml:space="preserve">[</w:t>
              </m:r>
              <m:sSup>
                <m:e>
                  <m:r>
                    <m:rPr>
                      <m:sty m:val="p"/>
                    </m:rPr>
                    <w:rPr>
                      <w:rFonts w:ascii="Cambria Math" w:hAnsi="Cambria Math" w:cs="Cambria Math"/>
                      <w:lang w:val="tr-TR"/>
                    </w:rPr>
                    <w:t xml:space="preserve">H₃O</w:t>
                  </m:r>
                </m:e>
                <m:sup>
                  <m:r>
                    <m:rPr>
                      <m:sty m:val="p"/>
                    </m:rPr>
                    <w:rPr>
                      <w:rFonts w:ascii="Cambria Math" w:hAnsi="Cambria Math" w:cs="Cambria Math"/>
                      <w:lang w:val="tr-TR"/>
                    </w:rPr>
                    <w:t xml:space="preserve">+</w:t>
                  </m:r>
                </m:sup>
              </m:sSup>
              <m:r>
                <m:rPr>
                  <m:sty m:val="p"/>
                </m:rPr>
                <w:rPr>
                  <w:rFonts w:ascii="Cambria Math" w:hAnsi="Cambria Math" w:cs="Cambria Math"/>
                  <w:lang w:val="tr-TR"/>
                </w:rPr>
                <w:t xml:space="preserve">][</w:t>
              </m:r>
              <m:sSup>
                <m:e>
                  <m:r>
                    <m:rPr>
                      <m:sty m:val="p"/>
                    </m:rPr>
                    <w:rPr>
                      <w:rFonts w:ascii="Cambria Math" w:hAnsi="Cambria Math" w:cs="Cambria Math"/>
                      <w:lang w:val="tr-TR"/>
                    </w:rPr>
                    <w:t xml:space="preserve">A</w:t>
                  </m:r>
                </m:e>
                <m:sup>
                  <m:r>
                    <m:rPr>
                      <m:sty m:val="p"/>
                    </m:rPr>
                    <w:rPr>
                      <w:rFonts w:ascii="Cambria Math" w:hAnsi="Cambria Math" w:cs="Cambria Math"/>
                      <w:lang w:val="tr-TR"/>
                    </w:rPr>
                    <w:t xml:space="preserve">−</w:t>
                  </m:r>
                </m:sup>
              </m:sSup>
              <m:r>
                <m:rPr>
                  <m:sty m:val="p"/>
                </m:rPr>
                <w:rPr>
                  <w:rFonts w:ascii="Cambria Math" w:hAnsi="Cambria Math" w:cs="Cambria Math"/>
                  <w:lang w:val="tr-TR"/>
                </w:rPr>
                <w:t xml:space="preserve">]</w:t>
              </m:r>
            </m:num>
            <m:den>
              <m:r>
                <m:rPr>
                  <m:sty m:val="p"/>
                </m:rPr>
                <w:rPr>
                  <w:rFonts w:ascii="Cambria Math" w:hAnsi="Cambria Math" w:cs="Cambria Math"/>
                  <w:lang w:val="tr-TR"/>
                </w:rPr>
                <w:t xml:space="preserve">[HA]</w:t>
              </m:r>
            </m:den>
          </m:f>
          <m:r>
            <m:rPr>
              <m:sty m:val="p"/>
            </m:rPr>
            <w:rPr>
              <w:rFonts w:ascii="Cambria Math" w:hAnsi="Cambria Math" w:cs="Cambria Math"/>
              <w:lang w:val="tr-TR"/>
            </w:rPr>
            <w:t xml:space="preserve">          </w:t>
          </m:r>
          <m:sSub>
            <m:e>
              <m:r>
                <m:rPr>
                  <m:sty m:val="p"/>
                </m:rPr>
                <w:rPr>
                  <w:rFonts w:ascii="Cambria Math" w:hAnsi="Cambria Math" w:cs="Cambria Math"/>
                  <w:lang w:val="tr-TR"/>
                </w:rPr>
                <w:t xml:space="preserve">K</w:t>
              </m:r>
            </m:e>
            <m:sub>
              <m:r>
                <m:rPr>
                  <m:sty m:val="p"/>
                </m:rPr>
                <w:rPr>
                  <w:rFonts w:ascii="Cambria Math" w:hAnsi="Cambria Math" w:cs="Cambria Math"/>
                  <w:lang w:val="tr-TR"/>
                </w:rPr>
                <w:t xml:space="preserve">b</w:t>
              </m:r>
            </m:sub>
          </m:sSub>
          <m:r>
            <m:rPr>
              <m:sty m:val="p"/>
            </m:rPr>
            <w:rPr>
              <w:rFonts w:ascii="Cambria Math" w:hAnsi="Cambria Math" w:cs="Cambria Math"/>
              <w:lang w:val="tr-TR"/>
            </w:rPr>
            <w:t xml:space="preserve"> = </w:t>
          </m:r>
          <m:f>
            <m:num>
              <m:r>
                <m:rPr>
                  <m:sty m:val="p"/>
                </m:rPr>
                <w:rPr>
                  <w:rFonts w:ascii="Cambria Math" w:hAnsi="Cambria Math" w:cs="Cambria Math"/>
                  <w:lang w:val="tr-TR"/>
                </w:rPr>
                <w:t xml:space="preserve">[</w:t>
              </m:r>
              <m:sSup>
                <m:e>
                  <m:r>
                    <m:rPr>
                      <m:sty m:val="p"/>
                    </m:rPr>
                    <w:rPr>
                      <w:rFonts w:ascii="Cambria Math" w:hAnsi="Cambria Math" w:cs="Cambria Math"/>
                      <w:lang w:val="tr-TR"/>
                    </w:rPr>
                    <w:t xml:space="preserve">NH₄</w:t>
                  </m:r>
                </m:e>
                <m:sup>
                  <m:r>
                    <m:rPr>
                      <m:sty m:val="p"/>
                    </m:rPr>
                    <w:rPr>
                      <w:rFonts w:ascii="Cambria Math" w:hAnsi="Cambria Math" w:cs="Cambria Math"/>
                      <w:lang w:val="tr-TR"/>
                    </w:rPr>
                    <w:t xml:space="preserve">+</w:t>
                  </m:r>
                </m:sup>
              </m:sSup>
              <m:r>
                <m:rPr>
                  <m:sty m:val="p"/>
                </m:rPr>
                <w:rPr>
                  <w:rFonts w:ascii="Cambria Math" w:hAnsi="Cambria Math" w:cs="Cambria Math"/>
                  <w:lang w:val="tr-TR"/>
                </w:rPr>
                <w:t xml:space="preserve">][</w:t>
              </m:r>
              <m:sSup>
                <m:e>
                  <m:r>
                    <m:rPr>
                      <m:sty m:val="p"/>
                    </m:rPr>
                    <w:rPr>
                      <w:rFonts w:ascii="Cambria Math" w:hAnsi="Cambria Math" w:cs="Cambria Math"/>
                      <w:lang w:val="tr-TR"/>
                    </w:rPr>
                    <w:t xml:space="preserve">OH</w:t>
                  </m:r>
                </m:e>
                <m:sup>
                  <m:r>
                    <m:rPr>
                      <m:sty m:val="p"/>
                    </m:rPr>
                    <w:rPr>
                      <w:rFonts w:ascii="Cambria Math" w:hAnsi="Cambria Math" w:cs="Cambria Math"/>
                      <w:lang w:val="tr-TR"/>
                    </w:rPr>
                    <w:t xml:space="preserve">−</w:t>
                  </m:r>
                </m:sup>
              </m:sSup>
              <m:r>
                <m:rPr>
                  <m:sty m:val="p"/>
                </m:rPr>
                <w:rPr>
                  <w:rFonts w:ascii="Cambria Math" w:hAnsi="Cambria Math" w:cs="Cambria Math"/>
                  <w:lang w:val="tr-TR"/>
                </w:rPr>
                <w:t xml:space="preserve">]</w:t>
              </m:r>
            </m:num>
            <m:den>
              <m:r>
                <m:rPr>
                  <m:sty m:val="p"/>
                </m:rPr>
                <w:rPr>
                  <w:rFonts w:ascii="Cambria Math" w:hAnsi="Cambria Math" w:cs="Cambria Math"/>
                  <w:lang w:val="tr-TR"/>
                </w:rPr>
                <w:t xml:space="preserve">[</w:t>
              </m:r>
              <m:sSub>
                <m:e>
                  <m:r>
                    <m:rPr>
                      <m:sty m:val="p"/>
                    </m:rPr>
                    <w:rPr>
                      <w:rFonts w:ascii="Cambria Math" w:hAnsi="Cambria Math" w:cs="Cambria Math"/>
                      <w:lang w:val="tr-TR"/>
                    </w:rPr>
                    <w:t xml:space="preserve">NH</w:t>
                  </m:r>
                </m:e>
                <m:sub>
                  <m:r>
                    <m:rPr>
                      <m:sty m:val="p"/>
                    </m:rPr>
                    <w:rPr>
                      <w:rFonts w:ascii="Cambria Math" w:hAnsi="Cambria Math" w:cs="Cambria Math"/>
                      <w:lang w:val="tr-TR"/>
                    </w:rPr>
                    <w:t xml:space="preserve">3</w:t>
                  </m:r>
                </m:sub>
              </m:sSub>
              <m:r>
                <m:rPr>
                  <m:sty m:val="p"/>
                </m:rPr>
                <w:rPr>
                  <w:rFonts w:ascii="Cambria Math" w:hAnsi="Cambria Math" w:cs="Cambria Math"/>
                  <w:lang w:val="tr-TR"/>
                </w:rPr>
                <w:t xml:space="preserve">]</w:t>
              </m:r>
            </m:den>
          </m:f>
        </m:oMath>
      </m:oMathPara>
    </w:p>
    <w:p>
      <w:pPr>
        <w:jc w:val="center"/>
        <w:rPr>
          <w:rFonts w:ascii="Times New Roman" w:hAnsi="Times New Roman" w:cs="Times New Roman"/>
          <w:lang w:val="tr-TR"/>
        </w:rPr>
      </w:pPr>
      <w:r>
        <w:rPr>
          <w:rFonts w:ascii="Times New Roman" w:hAnsi="Times New Roman" w:cs="Times New Roman"/>
          <w:b/>
          <w:bCs/>
          <w:lang w:val="tr-TR"/>
        </w:rPr>
        <w:t xml:space="preserve">Tablo B:</w:t>
      </w:r>
      <w:r>
        <w:rPr>
          <w:rFonts w:ascii="Times New Roman" w:hAnsi="Times New Roman" w:cs="Times New Roman"/>
          <w:lang w:val="tr-TR"/>
        </w:rPr>
        <w:t xml:space="preserve"> Bazı zayıf asit ve bazların 25 °C’deki K</w:t>
      </w:r>
      <w:r>
        <w:rPr>
          <w:rFonts w:ascii="Times New Roman" w:hAnsi="Times New Roman" w:cs="Times New Roman"/>
          <w:vertAlign w:val="subscript"/>
          <w:lang w:val="tr-TR"/>
        </w:rPr>
        <w:t xml:space="preserve">a</w:t>
      </w:r>
      <w:r>
        <w:rPr>
          <w:rFonts w:ascii="Times New Roman" w:hAnsi="Times New Roman" w:cs="Times New Roman"/>
          <w:lang w:val="tr-TR"/>
        </w:rPr>
        <w:t xml:space="preserve"> ve K</w:t>
      </w:r>
      <w:r>
        <w:rPr>
          <w:rFonts w:ascii="Times New Roman" w:hAnsi="Times New Roman" w:cs="Times New Roman"/>
          <w:vertAlign w:val="subscript"/>
          <w:lang w:val="tr-TR"/>
        </w:rPr>
        <w:t xml:space="preserve">b</w:t>
      </w:r>
      <w:r>
        <w:rPr>
          <w:rFonts w:ascii="Times New Roman" w:hAnsi="Times New Roman" w:cs="Times New Roman"/>
          <w:lang w:val="tr-TR"/>
        </w:rPr>
        <w:t xml:space="preserve"> değerleri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2100"/>
        <w:gridCol w:w="2400"/>
        <w:gridCol w:w="2100"/>
      </w:tblGrid>
      <w:tr>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Zayıf asit</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w:t>
            </w:r>
            <w:r>
              <w:rPr>
                <w:rFonts w:ascii="Times New Roman" w:hAnsi="Times New Roman" w:cs="Times New Roman"/>
                <w:b/>
                <w:bCs/>
                <w:vertAlign w:val="subscript"/>
                <w:lang w:val="tr-TR"/>
              </w:rPr>
              <w:t xml:space="preserve">a</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Zayıf baz</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w:t>
            </w:r>
            <w:r>
              <w:rPr>
                <w:rFonts w:ascii="Times New Roman" w:hAnsi="Times New Roman" w:cs="Times New Roman"/>
                <w:b/>
                <w:bCs/>
                <w:vertAlign w:val="subscript"/>
                <w:lang w:val="tr-TR"/>
              </w:rPr>
              <w:t xml:space="preserve">b</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HF</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6,8·10</w:t>
            </w:r>
            <w:r>
              <w:rPr>
                <w:rFonts w:ascii="Times New Roman" w:hAnsi="Times New Roman" w:cs="Times New Roman"/>
                <w:vertAlign w:val="superscript"/>
                <w:lang w:val="tr-TR"/>
              </w:rPr>
              <w:t xml:space="preserve">-4</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-5</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HCOOH</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-4</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NH</w:t>
            </w:r>
            <w:r>
              <w:rPr>
                <w:rFonts w:ascii="Times New Roman" w:hAnsi="Times New Roman" w:cs="Times New Roman"/>
                <w:vertAlign w:val="subscript"/>
                <w:lang w:val="tr-TR"/>
              </w:rPr>
              <w:t xml:space="preserve">2</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4,4·10</w:t>
            </w:r>
            <w:r>
              <w:rPr>
                <w:rFonts w:ascii="Times New Roman" w:hAnsi="Times New Roman" w:cs="Times New Roman"/>
                <w:vertAlign w:val="superscript"/>
                <w:lang w:val="tr-TR"/>
              </w:rPr>
              <w:t xml:space="preserve">-4</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-5</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N (piridin)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1,7·10</w:t>
            </w:r>
            <w:r>
              <w:rPr>
                <w:rFonts w:ascii="Times New Roman" w:hAnsi="Times New Roman" w:cs="Times New Roman"/>
                <w:vertAlign w:val="superscript"/>
                <w:lang w:val="tr-TR"/>
              </w:rPr>
              <w:t xml:space="preserve">-9</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6,2·10</w:t>
            </w:r>
            <w:r>
              <w:rPr>
                <w:rFonts w:ascii="Times New Roman" w:hAnsi="Times New Roman" w:cs="Times New Roman"/>
                <w:vertAlign w:val="superscript"/>
                <w:lang w:val="tr-TR"/>
              </w:rPr>
              <w:t xml:space="preserve">-10</w:t>
            </w:r>
          </w:p>
        </w:tc>
        <w:tc>
          <w:tcPr>
            <w:tcW w:w="2400" w:type="dxa"/>
            <w:vAlign w:val="center"/>
          </w:tcPr>
          <w:p>
            <w:pPr>
              <w:jc w:val="center"/>
              <w:rPr>
                <w:rFonts w:ascii="Times New Roman" w:hAnsi="Times New Roman" w:cs="Times New Roman"/>
                <w:lang w:val="tr-TR"/>
              </w:rPr>
            </w:pPr>
          </w:p>
        </w:tc>
        <w:tc>
          <w:tcPr>
            <w:tcW w:w="21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asit ne kadar kuvvetliyse eşlenik bazı o kadar zayıftır. Örneğin HCl çok kuvvetli bir asit olduğu için eşlenik bazı Cl</w:t>
      </w:r>
      <w:r>
        <w:rPr>
          <w:rFonts w:ascii="Times New Roman" w:hAnsi="Times New Roman" w:cs="Times New Roman"/>
          <w:vertAlign w:val="superscript"/>
          <w:lang w:val="tr-TR"/>
        </w:rPr>
        <w:t xml:space="preserve">−</w:t>
      </w:r>
      <w:r>
        <w:rPr>
          <w:rFonts w:ascii="Times New Roman" w:hAnsi="Times New Roman" w:cs="Times New Roman"/>
          <w:lang w:val="tr-TR"/>
        </w:rPr>
        <w:t xml:space="preserve"> suda proton alma eğilimi göstermez. Zayıf bir asit olan HF’nin eşlenik bazı F</w:t>
      </w:r>
      <w:r>
        <w:rPr>
          <w:rFonts w:ascii="Times New Roman" w:hAnsi="Times New Roman" w:cs="Times New Roman"/>
          <w:vertAlign w:val="superscript"/>
          <w:lang w:val="tr-TR"/>
        </w:rPr>
        <w:t xml:space="preserve">−</w:t>
      </w:r>
      <w:r>
        <w:rPr>
          <w:rFonts w:ascii="Times New Roman" w:hAnsi="Times New Roman" w:cs="Times New Roman"/>
          <w:lang w:val="tr-TR"/>
        </w:rPr>
        <w:t xml:space="preserve"> ise sudan proton alarak bazik özellik gösterebilir. Asitlerin kuvvetini “derişik” ya da “seyreltik” kavramlarıyla karıştırmamak gerekir: Derişim çözeltideki madde miktarını, kuvvet ise maddenin iyonlaşma eğilimini ifade eder. Örneğin 6 M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 derişik ancak zayıf, 0,001 M HCl çözeltisi seyreltik ancak kuvvetli bir asit çözeltisidir.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2.11.</w:t>
      </w:r>
    </w:p>
    <w:p>
      <w:pPr>
        <w:jc w:val="both"/>
        <w:rPr>
          <w:rFonts w:ascii="Times New Roman" w:hAnsi="Times New Roman" w:cs="Times New Roman"/>
          <w:lang w:val="tr-TR"/>
        </w:rPr>
      </w:pPr>
      <w:r>
        <w:rPr>
          <w:rFonts w:ascii="Times New Roman" w:hAnsi="Times New Roman" w:cs="Times New Roman"/>
          <w:lang w:val="tr-TR"/>
        </w:rPr>
        <w:t xml:space="preserve">25 °C’de 0,10 M HCOOH çözeltisinde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4,2·10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 olarak ölçülmüştür. HCOOH’ın iyonlaşma yüzdesini hesaplayınız ve aynı derişimdeki HCl çözeltisiyle kuvvet bakımından karşılaştırınız.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İyonlaşma yüzdesi = </w:t>
          </m:r>
          <m:f>
            <m:num>
              <m:r>
                <m:rPr>
                  <m:sty m:val="p"/>
                </m:rPr>
                <w:rPr>
                  <w:rFonts w:ascii="Cambria Math" w:hAnsi="Cambria Math" w:cs="Cambria Math"/>
                  <w:lang w:val="tr-TR"/>
                </w:rPr>
                <w:t xml:space="preserve">[</w:t>
              </m:r>
              <m:sSup>
                <m:e>
                  <m:r>
                    <m:rPr>
                      <m:sty m:val="p"/>
                    </m:rPr>
                    <w:rPr>
                      <w:rFonts w:ascii="Cambria Math" w:hAnsi="Cambria Math" w:cs="Cambria Math"/>
                      <w:lang w:val="tr-TR"/>
                    </w:rPr>
                    <w:t xml:space="preserve">H₃O</w:t>
                  </m:r>
                </m:e>
                <m:sup>
                  <m:r>
                    <m:rPr>
                      <m:sty m:val="p"/>
                    </m:rPr>
                    <w:rPr>
                      <w:rFonts w:ascii="Cambria Math" w:hAnsi="Cambria Math" w:cs="Cambria Math"/>
                      <w:lang w:val="tr-TR"/>
                    </w:rPr>
                    <w:t xml:space="preserve">+</w:t>
                  </m:r>
                </m:sup>
              </m:sSup>
              <m:r>
                <m:rPr>
                  <m:sty m:val="p"/>
                </m:rPr>
                <w:rPr>
                  <w:rFonts w:ascii="Cambria Math" w:hAnsi="Cambria Math" w:cs="Cambria Math"/>
                  <w:lang w:val="tr-TR"/>
                </w:rPr>
                <w:t xml:space="preserve">]</w:t>
              </m:r>
            </m:num>
            <m:den>
              <m:r>
                <m:rPr>
                  <m:sty m:val="p"/>
                </m:rPr>
                <w:rPr>
                  <w:rFonts w:ascii="Cambria Math" w:hAnsi="Cambria Math" w:cs="Cambria Math"/>
                  <w:lang w:val="tr-TR"/>
                </w:rPr>
                <w:t xml:space="preserve">[HCOOH]başlangıç</w:t>
              </m:r>
            </m:den>
          </m:f>
          <m:r>
            <m:rPr>
              <m:sty m:val="p"/>
            </m:rPr>
            <w:rPr>
              <w:rFonts w:ascii="Cambria Math" w:hAnsi="Cambria Math" w:cs="Cambria Math"/>
              <w:lang w:val="tr-TR"/>
            </w:rPr>
            <w:t xml:space="preserve"> · 100 = </w:t>
          </m:r>
          <m:f>
            <m:num>
              <m:r>
                <m:rPr>
                  <m:sty m:val="p"/>
                </m:rPr>
                <w:rPr>
                  <w:rFonts w:ascii="Cambria Math" w:hAnsi="Cambria Math" w:cs="Cambria Math"/>
                  <w:lang w:val="tr-TR"/>
                </w:rPr>
                <w:t xml:space="preserve">4,2·10⁻³</w:t>
              </m:r>
            </m:num>
            <m:den>
              <m:r>
                <m:rPr>
                  <m:sty m:val="p"/>
                </m:rPr>
                <w:rPr>
                  <w:rFonts w:ascii="Cambria Math" w:hAnsi="Cambria Math" w:cs="Cambria Math"/>
                  <w:lang w:val="tr-TR"/>
                </w:rPr>
                <w:t xml:space="preserve">0,10</w:t>
              </m:r>
            </m:den>
          </m:f>
          <m:r>
            <m:rPr>
              <m:sty m:val="p"/>
            </m:rPr>
            <w:rPr>
              <w:rFonts w:ascii="Cambria Math" w:hAnsi="Cambria Math" w:cs="Cambria Math"/>
              <w:lang w:val="tr-TR"/>
            </w:rPr>
            <w:t xml:space="preserve"> · 100 = %4,2</w:t>
          </m:r>
        </m:oMath>
      </m:oMathPara>
    </w:p>
    <w:p>
      <w:pPr>
        <w:jc w:val="both"/>
        <w:rPr>
          <w:rFonts w:ascii="Times New Roman" w:hAnsi="Times New Roman" w:cs="Times New Roman"/>
          <w:lang w:val="tr-TR"/>
        </w:rPr>
      </w:pPr>
      <w:r>
        <w:rPr>
          <w:rFonts w:ascii="Times New Roman" w:hAnsi="Times New Roman" w:cs="Times New Roman"/>
          <w:lang w:val="tr-TR"/>
        </w:rPr>
        <w:t xml:space="preserve">HCl ise suda yaklaşık %100 iyonlaşır. Bu nedenle HCl kuvvetli, HCOOH zayıf bir asittir.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2.8.</w:t>
      </w:r>
    </w:p>
    <w:p>
      <w:pPr>
        <w:jc w:val="both"/>
        <w:rPr>
          <w:rFonts w:ascii="Times New Roman" w:hAnsi="Times New Roman" w:cs="Times New Roman"/>
          <w:lang w:val="tr-TR"/>
        </w:rPr>
      </w:pPr>
      <w:r>
        <w:rPr>
          <w:rFonts w:ascii="Times New Roman" w:hAnsi="Times New Roman" w:cs="Times New Roman"/>
          <w:lang w:val="tr-TR"/>
        </w:rPr>
        <w:t xml:space="preserve">1.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Aynı derişimdeki HCl çözeltisinin elektrik iletkenliği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çözeltisininkinden büyüktür.</w:t>
      </w:r>
    </w:p>
    <w:p>
      <w:pPr>
        <w:ind w:left="720"/>
        <w:jc w:val="both"/>
        <w:rPr>
          <w:rFonts w:ascii="Times New Roman" w:hAnsi="Times New Roman" w:cs="Times New Roman"/>
          <w:lang w:val="tr-TR"/>
        </w:rPr>
      </w:pPr>
      <w:r>
        <w:rPr>
          <w:rFonts w:ascii="Times New Roman" w:hAnsi="Times New Roman" w:cs="Times New Roman"/>
          <w:lang w:val="tr-TR"/>
        </w:rPr>
        <w:t xml:space="preserve">(  ) Derişik bir asit çözeltisi her zaman kuvvetli bir asit çözeltisidir.</w:t>
      </w:r>
    </w:p>
    <w:p>
      <w:pPr>
        <w:ind w:left="720"/>
        <w:jc w:val="both"/>
        <w:rPr>
          <w:rFonts w:ascii="Times New Roman" w:hAnsi="Times New Roman" w:cs="Times New Roman"/>
          <w:lang w:val="tr-TR"/>
        </w:rPr>
      </w:pPr>
      <w:r>
        <w:rPr>
          <w:rFonts w:ascii="Times New Roman" w:hAnsi="Times New Roman" w:cs="Times New Roman"/>
          <w:lang w:val="tr-TR"/>
        </w:rPr>
        <w:t xml:space="preserve">(  ) K</w:t>
      </w:r>
      <w:r>
        <w:rPr>
          <w:rFonts w:ascii="Times New Roman" w:hAnsi="Times New Roman" w:cs="Times New Roman"/>
          <w:vertAlign w:val="subscript"/>
          <w:lang w:val="tr-TR"/>
        </w:rPr>
        <w:t xml:space="preserve">a</w:t>
      </w:r>
      <w:r>
        <w:rPr>
          <w:rFonts w:ascii="Times New Roman" w:hAnsi="Times New Roman" w:cs="Times New Roman"/>
          <w:lang w:val="tr-TR"/>
        </w:rPr>
        <w:t xml:space="preserve"> değeri büyük olan asit daha kuvvetlidir.</w:t>
      </w:r>
    </w:p>
    <w:p>
      <w:pPr>
        <w:ind w:left="720"/>
        <w:jc w:val="both"/>
        <w:rPr>
          <w:rFonts w:ascii="Times New Roman" w:hAnsi="Times New Roman" w:cs="Times New Roman"/>
          <w:lang w:val="tr-TR"/>
        </w:rPr>
      </w:pPr>
      <w:r>
        <w:rPr>
          <w:rFonts w:ascii="Times New Roman" w:hAnsi="Times New Roman" w:cs="Times New Roman"/>
          <w:lang w:val="tr-TR"/>
        </w:rPr>
        <w:t xml:space="preserve">(  ) NH</w:t>
      </w:r>
      <w:r>
        <w:rPr>
          <w:rFonts w:ascii="Times New Roman" w:hAnsi="Times New Roman" w:cs="Times New Roman"/>
          <w:vertAlign w:val="subscript"/>
          <w:lang w:val="tr-TR"/>
        </w:rPr>
        <w:t xml:space="preserve">3</w:t>
      </w:r>
      <w:r>
        <w:rPr>
          <w:rFonts w:ascii="Times New Roman" w:hAnsi="Times New Roman" w:cs="Times New Roman"/>
          <w:lang w:val="tr-TR"/>
        </w:rPr>
        <w:t xml:space="preserve"> suda tamamen iyonlaşan bir bazdır.</w:t>
      </w:r>
    </w:p>
    <w:p>
      <w:pPr>
        <w:ind w:left="720"/>
        <w:jc w:val="both"/>
        <w:rPr>
          <w:rFonts w:ascii="Times New Roman" w:hAnsi="Times New Roman" w:cs="Times New Roman"/>
          <w:lang w:val="tr-TR"/>
        </w:rPr>
      </w:pPr>
      <w:r>
        <w:rPr>
          <w:rFonts w:ascii="Times New Roman" w:hAnsi="Times New Roman" w:cs="Times New Roman"/>
          <w:lang w:val="tr-TR"/>
        </w:rPr>
        <w:t xml:space="preserve">(  ) Kuvvetli bir asidin eşlenik bazı zayıftır.</w:t>
      </w:r>
    </w:p>
    <w:p>
      <w:pPr>
        <w:jc w:val="both"/>
        <w:rPr>
          <w:rFonts w:ascii="Times New Roman" w:hAnsi="Times New Roman" w:cs="Times New Roman"/>
          <w:lang w:val="tr-TR"/>
        </w:rPr>
      </w:pPr>
      <w:r>
        <w:rPr>
          <w:rFonts w:ascii="Times New Roman" w:hAnsi="Times New Roman" w:cs="Times New Roman"/>
          <w:lang w:val="tr-TR"/>
        </w:rPr>
        <w:t xml:space="preserve">2. Tablo B’deki zayıf asitleri kuvvetlerine göre büyükten küçüğe sıralayınız. Eşlenik bazlarından hangisi en kuvvetlidir?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25 °C’de 0,10 M HA çözeltisinin pH değeri 3,0’tür. HA’nın iyonlaşma yüzdesini hesaplayınız. HA kuvvetli mi zayıf mı bir asittir?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Aynı derişimdeki NaOH 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çözeltilerinin alt mikro seviyedeki gösterimlerini çiziniz.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Aynı sıcaklık ve derişimdeki farklı asit ve baz çözeltilerinin pH ve iletkenlik değerlerini ölçebileceğiniz sanal laboratuvara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Sanal laboratuvar (Kim11.2.8)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(Kim11.2.8)</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(asitler ve bazlar bölümü)</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K</w:t>
      </w:r>
      <w:r>
        <w:rPr>
          <w:rFonts w:ascii="Times New Roman" w:hAnsi="Times New Roman" w:cs="Times New Roman"/>
          <w:highlight w:val="yellow"/>
          <w:vertAlign w:val="subscript"/>
          <w:lang w:val="tr-TR"/>
        </w:rPr>
        <w:t xml:space="preserve">a</w:t>
      </w:r>
      <w:r>
        <w:rPr>
          <w:rFonts w:ascii="Times New Roman" w:hAnsi="Times New Roman" w:cs="Times New Roman"/>
          <w:highlight w:val="yellow"/>
          <w:lang w:val="tr-TR"/>
        </w:rPr>
        <w:t xml:space="preserve"> ve K</w:t>
      </w:r>
      <w:r>
        <w:rPr>
          <w:rFonts w:ascii="Times New Roman" w:hAnsi="Times New Roman" w:cs="Times New Roman"/>
          <w:highlight w:val="yellow"/>
          <w:vertAlign w:val="subscript"/>
          <w:lang w:val="tr-TR"/>
        </w:rPr>
        <w:t xml:space="preserve">b</w:t>
      </w:r>
      <w:r>
        <w:rPr>
          <w:rFonts w:ascii="Times New Roman" w:hAnsi="Times New Roman" w:cs="Times New Roman"/>
          <w:highlight w:val="yellow"/>
          <w:lang w:val="tr-TR"/>
        </w:rPr>
        <w:t xml:space="preserve"> değerleri genel kimya kaynaklarındaki 25 °C değerleridir (HF için 6,8·10</w:t>
      </w:r>
      <w:r>
        <w:rPr>
          <w:rFonts w:ascii="Times New Roman" w:hAnsi="Times New Roman" w:cs="Times New Roman"/>
          <w:highlight w:val="yellow"/>
          <w:vertAlign w:val="superscript"/>
          <w:lang w:val="tr-TR"/>
        </w:rPr>
        <w:t xml:space="preserve">-4</w:t>
      </w:r>
      <w:r>
        <w:rPr>
          <w:rFonts w:ascii="Times New Roman" w:hAnsi="Times New Roman" w:cs="Times New Roman"/>
          <w:highlight w:val="yellow"/>
          <w:lang w:val="tr-TR"/>
        </w:rPr>
        <w:t xml:space="preserve"> kullanıldı; bazı kaynaklarda 7,2·10</w:t>
      </w:r>
      <w:r>
        <w:rPr>
          <w:rFonts w:ascii="Times New Roman" w:hAnsi="Times New Roman" w:cs="Times New Roman"/>
          <w:highlight w:val="yellow"/>
          <w:vertAlign w:val="superscript"/>
          <w:lang w:val="tr-TR"/>
        </w:rPr>
        <w:t xml:space="preserve">-4</w:t>
      </w:r>
      <w:r>
        <w:rPr>
          <w:rFonts w:ascii="Times New Roman" w:hAnsi="Times New Roman" w:cs="Times New Roman"/>
          <w:highlight w:val="yellow"/>
          <w:lang w:val="tr-TR"/>
        </w:rPr>
        <w:t xml:space="preserve">). İyonlaşma yüzdeleri bu değerlerle hesaplanmıştır.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