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p>
      <w:pPr>
        <w:jc w:val="center"/>
      </w:pPr>
      <w:r>
        <w:drawing>
          <wp:inline xmlns:a="http://schemas.openxmlformats.org/drawingml/2006/main" xmlns:pic="http://schemas.openxmlformats.org/drawingml/2006/picture">
            <wp:extent cx="5400000" cy="3978000"/>
            <wp:docPr id="900013" name="Picture 900013"/>
            <wp:cNvGraphicFramePr>
              <a:graphicFrameLocks noChangeAspect="1"/>
            </wp:cNvGraphicFramePr>
            <a:graphic>
              <a:graphicData uri="http://schemas.openxmlformats.org/drawingml/2006/picture">
                <pic:pic>
                  <pic:nvPicPr>
                    <pic:cNvPr id="0" name="2438110191_d.jpg"/>
                    <pic:cNvPicPr/>
                  </pic:nvPicPr>
                  <pic:blipFill>
                    <a:blip r:embed="rId13"/>
                    <a:stretch>
                      <a:fillRect/>
                    </a:stretch>
                  </pic:blipFill>
                  <pic:spPr>
                    <a:xfrm>
                      <a:off x="0" y="0"/>
                      <a:ext cx="5400000" cy="3978000"/>
                    </a:xfrm>
                    <a:prstGeom prst="rect"/>
                  </pic:spPr>
                </pic:pic>
              </a:graphicData>
            </a:graphic>
          </wp:inline>
        </w:drawing>
      </w:r>
    </w:p>
    <w:p>
      <w:pPr>
        <w:jc w:val="center"/>
      </w:pPr>
      <w:r>
        <w:rPr>
          <w:rFonts w:ascii="Times New Roman" w:hAnsi="Times New Roman" w:cs="Times New Roman"/>
          <w:b/>
          <w:bCs/>
          <w:highlight w:val="yellow"/>
          <w:lang w:val="tr-TR"/>
        </w:rPr>
        <w:t xml:space="preserve">Shutter id: 2438110191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p>
      <w:pPr>
        <w:jc w:val="center"/>
      </w:pPr>
      <w:r>
        <w:drawing>
          <wp:inline xmlns:a="http://schemas.openxmlformats.org/drawingml/2006/main" xmlns:pic="http://schemas.openxmlformats.org/drawingml/2006/picture">
            <wp:extent cx="5400000" cy="3394800"/>
            <wp:docPr id="900014" name="Picture 900014"/>
            <wp:cNvGraphicFramePr>
              <a:graphicFrameLocks noChangeAspect="1"/>
            </wp:cNvGraphicFramePr>
            <a:graphic>
              <a:graphicData uri="http://schemas.openxmlformats.org/drawingml/2006/picture">
                <pic:pic>
                  <pic:nvPicPr>
                    <pic:cNvPr id="0" name="4198128129_d.jpg"/>
                    <pic:cNvPicPr/>
                  </pic:nvPicPr>
                  <pic:blipFill>
                    <a:blip r:embed="rId14"/>
                    <a:stretch>
                      <a:fillRect/>
                    </a:stretch>
                  </pic:blipFill>
                  <pic:spPr>
                    <a:xfrm>
                      <a:off x="0" y="0"/>
                      <a:ext cx="5400000" cy="3394800"/>
                    </a:xfrm>
                    <a:prstGeom prst="rect"/>
                  </pic:spPr>
                </pic:pic>
              </a:graphicData>
            </a:graphic>
          </wp:inline>
        </w:drawing>
      </w:r>
    </w:p>
    <w:p>
      <w:pPr>
        <w:jc w:val="center"/>
      </w:pPr>
      <w:r>
        <w:rPr>
          <w:rFonts w:ascii="Times New Roman" w:hAnsi="Times New Roman" w:cs="Times New Roman"/>
          <w:b/>
          <w:bCs/>
          <w:highlight w:val="yellow"/>
          <w:lang w:val="tr-TR"/>
        </w:rPr>
        <w:t xml:space="preserve">Shutter id: 4198128129 (bölüm kapağı, tam sayfa)</w:t>
      </w:r>
    </w:p>
    <w:p>
      <w:pPr>
        <w:jc w:val="center"/>
      </w:pPr>
      <w:r>
        <w:drawing>
          <wp:inline xmlns:a="http://schemas.openxmlformats.org/drawingml/2006/main" xmlns:pic="http://schemas.openxmlformats.org/drawingml/2006/picture">
            <wp:extent cx="3436363" cy="2520000"/>
            <wp:docPr id="900015" name="Picture 900015"/>
            <wp:cNvGraphicFramePr>
              <a:graphicFrameLocks noChangeAspect="1"/>
            </wp:cNvGraphicFramePr>
            <a:graphic>
              <a:graphicData uri="http://schemas.openxmlformats.org/drawingml/2006/picture">
                <pic:pic>
                  <pic:nvPicPr>
                    <pic:cNvPr id="0" name="2470794031_d.jpg"/>
                    <pic:cNvPicPr/>
                  </pic:nvPicPr>
                  <pic:blipFill>
                    <a:blip r:embed="rId15"/>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2470794031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p>
      <w:pPr>
        <w:jc w:val="center"/>
      </w:pPr>
      <w:r>
        <w:drawing>
          <wp:inline xmlns:a="http://schemas.openxmlformats.org/drawingml/2006/main" xmlns:pic="http://schemas.openxmlformats.org/drawingml/2006/picture">
            <wp:extent cx="3433242" cy="2520000"/>
            <wp:docPr id="900011" name="Picture 900011"/>
            <wp:cNvGraphicFramePr>
              <a:graphicFrameLocks noChangeAspect="1"/>
            </wp:cNvGraphicFramePr>
            <a:graphic>
              <a:graphicData uri="http://schemas.openxmlformats.org/drawingml/2006/picture">
                <pic:pic>
                  <pic:nvPicPr>
                    <pic:cNvPr id="0" name="1576281232_d.jpg"/>
                    <pic:cNvPicPr/>
                  </pic:nvPicPr>
                  <pic:blipFill>
                    <a:blip r:embed="rId11"/>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1576281232</w:t>
      </w: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(Görsel C). Bu projelerde hidrojen nasıl kullanılmış olabilir? Hidrojen gazı evlerimizden çıkan atıklardan (Görsel D)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360416"/>
                  <wp:docPr id="900012" name="Picture 900012"/>
                  <wp:cNvGraphicFramePr>
                    <a:graphicFrameLocks noChangeAspect="1"/>
                  </wp:cNvGraphicFramePr>
                  <a:graphic>
                    <a:graphicData uri="http://schemas.openxmlformats.org/drawingml/2006/picture">
                      <pic:pic>
                        <pic:nvPicPr>
                          <pic:cNvPr id="0" name="1922618339_d.jpg"/>
                          <pic:cNvPicPr/>
                        </pic:nvPicPr>
                        <pic:blipFill>
                          <a:blip r:embed="rId12"/>
                          <a:stretch>
                            <a:fillRect/>
                          </a:stretch>
                        </pic:blipFill>
                        <pic:spPr>
                          <a:xfrm>
                            <a:off x="0" y="0"/>
                            <a:ext cx="2664000" cy="1360416"/>
                          </a:xfrm>
                          <a:prstGeom prst="rect"/>
                        </pic:spPr>
                      </pic:pic>
                    </a:graphicData>
                  </a:graphic>
                </wp:inline>
              </w:drawing>
            </w:r>
          </w:p>
          <w:p>
            <w:pPr>
              <w:jc w:val="center"/>
            </w:pPr>
            <w:r>
              <w:rPr>
                <w:rFonts w:ascii="Times New Roman" w:hAnsi="Times New Roman" w:cs="Times New Roman"/>
                <w:b/>
                <w:bCs/>
                <w:highlight w:val="yellow"/>
                <w:lang w:val="tr-TR"/>
              </w:rPr>
              <w:t xml:space="preserve">Shutter id: 1922618339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c>
        <w:tc>
          <w:tcPr>
            <w:tcW w:w="4500" w:type="dxa"/>
          </w:tcPr>
          <w:p>
            <w:pPr>
              <w:jc w:val="center"/>
            </w:pPr>
            <w:r>
              <w:drawing>
                <wp:inline xmlns:a="http://schemas.openxmlformats.org/drawingml/2006/main" xmlns:pic="http://schemas.openxmlformats.org/drawingml/2006/picture">
                  <wp:extent cx="2664000" cy="1957152"/>
                  <wp:docPr id="900016" name="Picture 900016"/>
                  <wp:cNvGraphicFramePr>
                    <a:graphicFrameLocks noChangeAspect="1"/>
                  </wp:cNvGraphicFramePr>
                  <a:graphic>
                    <a:graphicData uri="http://schemas.openxmlformats.org/drawingml/2006/picture">
                      <pic:pic>
                        <pic:nvPicPr>
                          <pic:cNvPr id="0" name="2723825975_d.jpg"/>
                          <pic:cNvPicPr/>
                        </pic:nvPicPr>
                        <pic:blipFill>
                          <a:blip r:embed="rId16"/>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2723825975</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5040000" cy="2224320"/>
            <wp:docPr id="900017" name="Picture 900017"/>
            <wp:cNvGraphicFramePr>
              <a:graphicFrameLocks noChangeAspect="1"/>
            </wp:cNvGraphicFramePr>
            <a:graphic>
              <a:graphicData uri="http://schemas.openxmlformats.org/drawingml/2006/picture">
                <pic:pic>
                  <pic:nvPicPr>
                    <pic:cNvPr id="0" name="2446755651_d.jpg"/>
                    <pic:cNvPicPr/>
                  </pic:nvPicPr>
                  <pic:blipFill>
                    <a:blip r:embed="rId17"/>
                    <a:stretch>
                      <a:fillRect/>
                    </a:stretch>
                  </pic:blipFill>
                  <pic:spPr>
                    <a:xfrm>
                      <a:off x="0" y="0"/>
                      <a:ext cx="5040000" cy="2224320"/>
                    </a:xfrm>
                    <a:prstGeom prst="rect"/>
                  </pic:spPr>
                </pic:pic>
              </a:graphicData>
            </a:graphic>
          </wp:inline>
        </w:drawing>
      </w:r>
    </w:p>
    <w:p>
      <w:pPr>
        <w:jc w:val="center"/>
      </w:pPr>
      <w:r>
        <w:rPr>
          <w:rFonts w:ascii="Times New Roman" w:hAnsi="Times New Roman" w:cs="Times New Roman"/>
          <w:b/>
          <w:bCs/>
          <w:highlight w:val="yellow"/>
          <w:lang w:val="tr-TR"/>
        </w:rPr>
        <w:t xml:space="preserve">Shutter id: 2446755651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Renewable Energy Sources: Yenilenebilir enerji kaynakları; Water Electrolysis: Suyun elektrolizi; Storage and Transportation: Depolama ve taşıma; Hydrogen: Hidrojen; Industrial Processes: Endüstriyel süreçler; Hydrogen Engines: Hidrojenle çalışan motorlar. H2, O2, H2O formülleri alt simgeli yazılmalı (H₂, O₂, H₂O).</w:t>
      </w: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