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p>
      <w:pPr>
        <w:jc w:val="center"/>
      </w:pPr>
      <w:r>
        <w:drawing>
          <wp:inline xmlns:a="http://schemas.openxmlformats.org/drawingml/2006/main" xmlns:pic="http://schemas.openxmlformats.org/drawingml/2006/picture">
            <wp:extent cx="2964706" cy="2519999"/>
            <wp:docPr id="900004" name="Picture 900004"/>
            <wp:cNvGraphicFramePr>
              <a:graphicFrameLocks noChangeAspect="1"/>
            </wp:cNvGraphicFramePr>
            <a:graphic>
              <a:graphicData uri="http://schemas.openxmlformats.org/drawingml/2006/picture">
                <pic:pic>
                  <pic:nvPicPr>
                    <pic:cNvPr id="0" name="1941187255_d.jpg"/>
                    <pic:cNvPicPr/>
                  </pic:nvPicPr>
                  <pic:blipFill>
                    <a:blip r:embed="rId11"/>
                    <a:stretch>
                      <a:fillRect/>
                    </a:stretch>
                  </pic:blipFill>
                  <pic:spPr>
                    <a:xfrm>
                      <a:off x="0" y="0"/>
                      <a:ext cx="2964706"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1941187255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The EQUILIBRIUM that exists between a partially soluble ionic compound and its saturated solution: Suda az çözünen iyonik bir bileşik ile doymuş çözeltisi arasında kurulan denge. Denklemdeki hâl simgeleri Türkçeleştirilecek: (s) → (k), (aq) → (suda), H2O(ℓ) → H₂O(s).</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