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ve Görsel B). Bir çözeltiye ne kadar asit ya da baz eklenmesi gerektiğine karar verebilmek için çözeltinin pH değerinin önceden hesaplanabilmesi gerekir. Aynı derişimdeki kuvvetli ve zayıf asit çözeltilerinin pH değerleri aynı yöntemle mi hesaplanır? Bu sorunun cevabını bir etkinlik yaparak keşfediniz. Analiz ve Keşif Atölyesi 2.9.’da derişimleri aynı olan kuvvetli ve zayıf asit-baz çözeltilerinin ölçülen pH değerlerinden yola çıkarak iyon derişimlerini hesaplayacak, bu hesaplamaların ortak ve farklı yönlerini listeleyerek karşılaştıracaksınız. Tablodaki verileri dikkatle okuyup yorumlarken veri okuryazarlığınızı, çalışmanızı kendi hazırladığınız bir plana göre adım adım yürütürken de öz düzenleme becerinizi ve çalışkanlık değerinizi geliştireceksiniz.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5376"/>
                  <wp:docPr id="900009" name="Picture 900009"/>
                  <wp:cNvGraphicFramePr>
                    <a:graphicFrameLocks noChangeAspect="1"/>
                  </wp:cNvGraphicFramePr>
                  <a:graphic>
                    <a:graphicData uri="http://schemas.openxmlformats.org/drawingml/2006/picture">
                      <pic:pic>
                        <pic:nvPicPr>
                          <pic:cNvPr id="0" name="2229399895_d.jpg"/>
                          <pic:cNvPicPr/>
                        </pic:nvPicPr>
                        <pic:blipFill>
                          <a:blip r:embed="rId11"/>
                          <a:stretch>
                            <a:fillRect/>
                          </a:stretch>
                        </pic:blipFill>
                        <pic:spPr>
                          <a:xfrm>
                            <a:off x="0" y="0"/>
                            <a:ext cx="2664000" cy="1955376"/>
                          </a:xfrm>
                          <a:prstGeom prst="rect"/>
                        </pic:spPr>
                      </pic:pic>
                    </a:graphicData>
                  </a:graphic>
                </wp:inline>
              </w:drawing>
            </w:r>
          </w:p>
          <w:p>
            <w:pPr>
              <w:jc w:val="center"/>
            </w:pPr>
            <w:r>
              <w:rPr>
                <w:rFonts w:ascii="Times New Roman" w:hAnsi="Times New Roman" w:cs="Times New Roman"/>
                <w:b/>
                <w:bCs/>
                <w:highlight w:val="yellow"/>
                <w:lang w:val="tr-TR"/>
              </w:rPr>
              <w:t xml:space="preserve">Shutter id: 2229399895</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tc>
        <w:tc>
          <w:tcPr>
            <w:tcW w:w="4500" w:type="dxa"/>
          </w:tcPr>
          <w:p>
            <w:pPr>
              <w:jc w:val="center"/>
            </w:pPr>
            <w:r>
              <w:drawing>
                <wp:inline xmlns:a="http://schemas.openxmlformats.org/drawingml/2006/main" xmlns:pic="http://schemas.openxmlformats.org/drawingml/2006/picture">
                  <wp:extent cx="2664000" cy="1951824"/>
                  <wp:docPr id="900010" name="Picture 900010"/>
                  <wp:cNvGraphicFramePr>
                    <a:graphicFrameLocks noChangeAspect="1"/>
                  </wp:cNvGraphicFramePr>
                  <a:graphic>
                    <a:graphicData uri="http://schemas.openxmlformats.org/drawingml/2006/picture">
                      <pic:pic>
                        <pic:nvPicPr>
                          <pic:cNvPr id="0" name="2840825669_d.jpg"/>
                          <pic:cNvPicPr/>
                        </pic:nvPicPr>
                        <pic:blipFill>
                          <a:blip r:embed="rId12"/>
                          <a:stretch>
                            <a:fillRect/>
                          </a:stretch>
                        </pic:blipFill>
                        <pic:spPr>
                          <a:xfrm>
                            <a:off x="0" y="0"/>
                            <a:ext cx="2664000" cy="1951824"/>
                          </a:xfrm>
                          <a:prstGeom prst="rect"/>
                        </pic:spPr>
                      </pic:pic>
                    </a:graphicData>
                  </a:graphic>
                </wp:inline>
              </w:drawing>
            </w:r>
          </w:p>
          <w:p>
            <w:pPr>
              <w:jc w:val="center"/>
            </w:pPr>
            <w:r>
              <w:rPr>
                <w:rFonts w:ascii="Times New Roman" w:hAnsi="Times New Roman" w:cs="Times New Roman"/>
                <w:b/>
                <w:bCs/>
                <w:highlight w:val="yellow"/>
                <w:lang w:val="tr-TR"/>
              </w:rPr>
              <w:t xml:space="preserve">Shutter id: 2840825669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Toprağın pH değerinin ölçülmesi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 Planınızda hangi verileri kullanacağınızı, hesaplamaları hangi sırayla yapacağınızı ve her adıma ne kadar zaman ayıracağınızı belirleyiniz; etkinlik sonunda planınıza ne ölçüde uyduğunuzu değerlendiriniz.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yapınız. Ne fark ediyorsunuz? Benzer karşılaştırmayı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ile bazların başlangıç derişimleri arasında da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Derişimleri aynı olan kuvvetli asit ve zayıf asit çözeltilerinin pH değerine ilişkin özellikleri belirleyiniz. Aynı işlemi derişimleri aynı olan kuvvetli baz ve 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değerini hesaplamaya çalışınız. Aynı hesaplamayı K</w:t>
      </w:r>
      <w:r>
        <w:rPr>
          <w:rFonts w:ascii="Times New Roman" w:hAnsi="Times New Roman" w:cs="Times New Roman"/>
          <w:lang w:val="tr-TR"/>
          <w:vertAlign w:val="subscript"/>
        </w:rPr>
        <w:t xml:space="preserve">b</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için de yapınız. Hesapladığınız değerleri ölçülen değerlerle karşılaştırınız. Hesaplamanızda hangi yaklaşımları yaptığınızı yazınız ve bu yaklaşımların hangi koşulda büyük bir hataya yol açmayacağını asit ya da bazın derişimini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değeriyle karşılaştırarak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Çözeltilerinde pH: Kuvvetli asit ve bazların suda tamamen iyonlaştığı kabul edilir; iyonlaşma tepkimeleri tek yönlü olduğundan bu çözeltiler için denge bağıntısı yazılmaz. Monofonksiyonel kuvvetli bir asidin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Monofonksiyonel kuvvetli bir bazın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b</w:t>
      </w:r>
      <w:r>
        <w:rPr>
          <w:rFonts w:ascii="Times New Roman" w:hAnsi="Times New Roman" w:cs="Times New Roman"/>
          <w:lang w:val="tr-TR"/>
        </w:rPr>
        <w:t xml:space="preserve">’dir. Örneğin 25 °C’de 0,010 M HNO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ve pH = 2’dir. Aynı sıcaklıkta 0,010 M KOH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ihmal edilir. Asit ya da baz derişimi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mol/L’den çok büyük olduğunda sudan gelen iyonlar asit ya da bazdan gelen iyonların yanında çok az kaldığı için bu ihmal büyük bir hataya yol açmaz.</w:t>
      </w:r>
    </w:p>
    <w:p>
      <w:pPr>
        <w:jc w:val="both"/>
        <w:rPr>
          <w:rFonts w:ascii="Times New Roman" w:hAnsi="Times New Roman" w:cs="Times New Roman"/>
          <w:lang w:val="tr-TR"/>
        </w:rPr>
      </w:pPr>
      <w:r>
        <w:rPr>
          <w:rFonts w:ascii="Times New Roman" w:hAnsi="Times New Roman" w:cs="Times New Roman"/>
          <w:lang w:val="tr-TR"/>
        </w:rPr>
        <w:t xml:space="preserve">Zayıf Asit ve Zayıf Baz Çözeltilerinde pH: Zayıf asitler kısmen iyonlaştığı için çözeltideki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asidin başlangıç derişiminden çok küçüktür ve yalnızca asidin derişiminden bulunamaz; hesaplamada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kullanılır. Başlangıç derişimi C</w:t>
      </w:r>
      <w:r>
        <w:rPr>
          <w:rFonts w:ascii="Times New Roman" w:hAnsi="Times New Roman" w:cs="Times New Roman"/>
          <w:lang w:val="tr-TR"/>
          <w:vertAlign w:val="subscript"/>
        </w:rPr>
        <w:t xml:space="preserve">a</w:t>
      </w:r>
      <w:r>
        <w:rPr>
          <w:rFonts w:ascii="Times New Roman" w:hAnsi="Times New Roman" w:cs="Times New Roman"/>
          <w:lang w:val="tr-TR"/>
        </w:rPr>
        <w:t xml:space="preserve"> olan monofonksiyonel zayıf bir HA asidinin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lang w:val="tr-TR"/>
          <w:vertAlign w:val="subscript"/>
        </w:rPr>
        <w:t xml:space="preserve">a</w:t>
      </w:r>
      <w:r>
        <w:rPr>
          <w:rFonts w:ascii="Times New Roman" w:hAnsi="Times New Roman" w:cs="Times New Roman"/>
          <w:lang w:val="tr-TR"/>
        </w:rPr>
        <w:t xml:space="preserve"> değerine oranı 100’den büyükse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büyük bir hataya yol açmaz. Monofonksiyonel zayıf bazlar için de aynı yol izlenir: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b</w:t>
      </w:r>
      <w:r>
        <w:rPr>
          <w:rFonts w:ascii="Times New Roman" w:hAnsi="Times New Roman" w:cs="Times New Roman"/>
          <w:lang w:val="tr-TR"/>
        </w:rPr>
        <w:t xml:space="preserve">·C</w:t>
      </w:r>
      <w:r>
        <w:rPr>
          <w:rFonts w:ascii="Times New Roman" w:hAnsi="Times New Roman" w:cs="Times New Roman"/>
          <w:lang w:val="tr-TR"/>
          <w:vertAlign w:val="subscript"/>
        </w:rPr>
        <w:t xml:space="preserve">b</w:t>
      </w:r>
      <w:r>
        <w:rPr>
          <w:rFonts w:ascii="Times New Roman" w:hAnsi="Times New Roman" w:cs="Times New Roman"/>
          <w:lang w:val="tr-TR"/>
        </w:rPr>
        <w:t xml:space="preser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Kuvvetli ve zayıf asit/baz çözeltilerinde pH hesaplamalarının benzer ve farklı yönleri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 C</w:t>
            </w:r>
            <w:r>
              <w:rPr>
                <w:rFonts w:ascii="Times New Roman" w:hAnsi="Times New Roman" w:cs="Times New Roman"/>
                <w:lang w:val="tr-TR"/>
                <w:vertAlign w:val="subscript"/>
              </w:rPr>
              <w:t xml:space="preserve">b</w:t>
            </w:r>
            <w:r>
              <w:rPr>
                <w:rFonts w:ascii="Times New Roman" w:hAnsi="Times New Roman" w:cs="Times New Roman"/>
                <w:lang w:val="tr-TR"/>
              </w:rPr>
              <w:t xml:space="preserve"> (monofonksiyonel)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0,050 M HCOOH çözeltisinin pH değerini ve iyonlaşma yüzdesini hesaplayınız.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log 3 = 0,48)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 0,050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2,8·10</w:t>
      </w:r>
      <w:r>
        <w:rPr>
          <w:rFonts w:ascii="Times New Roman" w:hAnsi="Times New Roman" w:cs="Times New Roman"/>
          <w:lang w:val="tr-TR"/>
          <w:vertAlign w:val="superscript"/>
        </w:rPr>
        <w:t xml:space="preserve">2</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olduğundan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0,050) =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3 − 0,48 = 2,52        İyonlaşma yüzdesi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0,050) · 100 = %6,0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7,87,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