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Ürünün içindeki asit ya da bazın derişimini belirlemek için derişimi tam olarak bilinen bir çözeltiyi büretten damla damla ekler ve çözeltinin rengi değiştiği anda eklemeyi durdurur (Görsel A).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Laboratuvarda titrasyon yapılması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 Ek uyarılar: Pipetle ağızla sıvı çekilmemeli, puar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erlenmayere dereceli pipetle 20,0 mL derişimi bilinmeyen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Bir büreti 0,100 M NaOH çözeltisi ile doldurunuz, başlangıç hacmini kaydediniz.</w:t>
            </w:r>
          </w:p>
          <w:p>
            <w:pPr>
              <w:jc w:val="both"/>
              <w:rPr>
                <w:rFonts w:ascii="Times New Roman" w:hAnsi="Times New Roman" w:cs="Times New Roman"/>
                <w:lang w:val="tr-TR"/>
              </w:rPr>
            </w:pPr>
            <w:r>
              <w:rPr>
                <w:rFonts w:ascii="Times New Roman" w:hAnsi="Times New Roman" w:cs="Times New Roman"/>
                <w:lang w:val="tr-TR"/>
              </w:rPr>
              <w:t xml:space="preserve">• Erlenmayeri sürekli çalkalayarak büretten NaOH çözeltisini damla damla ekleyiniz. Çözeltide en az 30 saniye kalıcı olan açık pembe renk oluştuğunda eklemeyi durdurunuz ve büretteki son hacmi kaydediniz.</w:t>
            </w:r>
          </w:p>
          <w:p>
            <w:pPr>
              <w:jc w:val="both"/>
              <w:rPr>
                <w:rFonts w:ascii="Times New Roman" w:hAnsi="Times New Roman" w:cs="Times New Roman"/>
                <w:lang w:val="tr-TR"/>
              </w:rPr>
            </w:pPr>
            <w:r>
              <w:rPr>
                <w:rFonts w:ascii="Times New Roman" w:hAnsi="Times New Roman" w:cs="Times New Roman"/>
                <w:lang w:val="tr-TR"/>
              </w:rPr>
              <w:t xml:space="preserve">• Deneyi üç kez tekrarlayınız ve harcanan NaOH hacimlerinin ortalamasını alınız.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 ID: 1610704996 (vektör) — Titration labeled educational chemistry scheme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Titrasyon düzeneği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hesaplayarak belirleyiniz. Grubunuzun ulaştığı sonucu diğer grupların sonuçlarıyla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derişimi bilinen bir baz çözeltisinden yararlanarak derişimi bilinmeyen bir asit çözeltisinin derişimini belirlediniz. Derişimi bilinen bir çözelti yardımıyla derişimi bilinmeyen bir çözeltinin derişimini belirlemeye yarayan analiz yöntemine titrasyon denir. Titrasyonda kullanılan ve derişimi tam olarak bilinen çözeltiye standart çözelti denir. Standart çözelti bir bürete konur ve derişimi bilinmeyen çözeltinin belirli bir hacmini içeren erlenmayere damla damla eklenir; bu sırada iki çözeltideki maddeler arasında bir kimyasal tepkime gerçekleşir. Büret, alt ucunda musluk bulunan ve üzerinde 0,1 mL’lik bölmeler yer alan dereceli bir cam borudur; eklenen çözeltinin hacminin duyarlı biçimde ölçülmesini sağlar. Titrasyonlar, gerçekleşen tepkimenin türüne göre asit-baz, çöktürme ve redoks (indirgenme-yükseltgenme) titrasyonları olarak sınıflandırılır. Derişimi bilinmeyen kuvvetli asit ya da kuvvetli baz çözeltisinin derişimini kuvvetli bir baz ya da kuvvetli bir asit kullanarak belirlemek için yapılan titrasyona kuvvetli asit-kuvvetli baz titrasyonu denir.</w:t>
      </w:r>
    </w:p>
    <w:p>
      <w:pPr>
        <w:jc w:val="both"/>
        <w:rPr>
          <w:rFonts w:ascii="Times New Roman" w:hAnsi="Times New Roman" w:cs="Times New Roman"/>
          <w:lang w:val="tr-TR"/>
        </w:rPr>
      </w:pPr>
      <w:r>
        <w:rPr>
          <w:rFonts w:ascii="Times New Roman" w:hAnsi="Times New Roman" w:cs="Times New Roman"/>
          <w:lang w:val="tr-TR"/>
        </w:rPr>
        <w:t xml:space="preserve">Kuvvetli asit-kuvvetli baz titrasyonunda nötralleşme tepkimesinin tamamlandığı, yani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noktaya eş değerlik noktası denir. Eş değerlik noktasında tam nötralleşme gerçekleştiği için çözelti nötrdür ve pH değeri 25 °C’de 7’dir. Eş değerlik noktası hesaplanabilen kuramsal bir noktadır; doğrudan gözlenemez. Bu noktayı belirlemek için eş değerlik noktasında ya da yakınında fiziksel bir değişim gösteren indikatörlerden, pH metreden ya da iletkenlik ölçerden yararlanılır. İndikatörün renk değiştirdiği ve titrasyonun sonlandırıldığı noktaya dönüm noktası denir. Uygun indikatör seçildiğinde dönüm noktası eş değerlik noktasına çok yakın olur; aradaki hacim farkı bir damladan bile küçük olduğu için hesaplamalarda dönüm noktasına kadar harcanan hacim kullanılır.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ve eğri neredeyse dikey hâle gelir. Örneğin eklenen NaOH hacmi 24,9 mL iken pH yaklaşık 3,7; 25,1 mL iken yaklaşık 10,3’tür. Bu dik bölge fenolftaleinin (pH 8,2-10,0) ve metil oranjın (pH 3,1-4,4) renk değiştirme aralıklarını kapsadığı için her iki indikatör de kuvvetli asit-kuvvetli baz titrasyonlarında kullanılabilir; iki indikatörle belirlenen dönüm noktası hacimleri arasındaki fark ihmal edilecek kadar küçüktür. Renk değiştirme aralığı eş değerlik noktasını içine alan bromtimol mavisi (pH 6,0-7,6) de uygun bir seçimdir. Genel olarak indikatör, renk değiştirme aralığı titrasyon eğrisinin dik bölgesine düşecek şekilde seçilir.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olduğundan nötralleşme konusunda kullanılan eşitlik, titrasyonda derişimi bilinmeyen çözeltinin derişimini hesaplamak için de kullanılır. Hesaplamada asit ya da bazın hacmi olarak dönüm noktasına kadar harcanan hacim alınır: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NaOH ve KOH gibi bir molekülü ya da birim formülü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veya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asit ve bazlar için bu eşitlik M</w:t>
      </w:r>
      <w:r>
        <w:rPr>
          <w:rFonts w:ascii="Times New Roman" w:hAnsi="Times New Roman" w:cs="Times New Roman"/>
          <w:lang w:val="tr-TR"/>
          <w:vertAlign w:val="subscript"/>
        </w:rPr>
        <w:t xml:space="preserve">a</w:t>
      </w:r>
      <w:r>
        <w:rPr>
          <w:rFonts w:ascii="Times New Roman" w:hAnsi="Times New Roman" w:cs="Times New Roman"/>
          <w:lang w:val="tr-TR"/>
        </w:rPr>
        <w:t xml:space="preserve">·V</w:t>
      </w:r>
      <w:r>
        <w:rPr>
          <w:rFonts w:ascii="Times New Roman" w:hAnsi="Times New Roman" w:cs="Times New Roman"/>
          <w:lang w:val="tr-TR"/>
          <w:vertAlign w:val="subscript"/>
        </w:rPr>
        <w:t xml:space="preserve">a</w:t>
      </w:r>
      <w:r>
        <w:rPr>
          <w:rFonts w:ascii="Times New Roman" w:hAnsi="Times New Roman" w:cs="Times New Roman"/>
          <w:lang w:val="tr-TR"/>
        </w:rPr>
        <w:t xml:space="preserve"> = M</w:t>
      </w:r>
      <w:r>
        <w:rPr>
          <w:rFonts w:ascii="Times New Roman" w:hAnsi="Times New Roman" w:cs="Times New Roman"/>
          <w:lang w:val="tr-TR"/>
          <w:vertAlign w:val="subscript"/>
        </w:rPr>
        <w:t xml:space="preserve">b</w:t>
      </w:r>
      <w:r>
        <w:rPr>
          <w:rFonts w:ascii="Times New Roman" w:hAnsi="Times New Roman" w:cs="Times New Roman"/>
          <w:lang w:val="tr-TR"/>
        </w:rPr>
        <w:t xml:space="preserve">·V</w:t>
      </w:r>
      <w:r>
        <w:rPr>
          <w:rFonts w:ascii="Times New Roman" w:hAnsi="Times New Roman" w:cs="Times New Roman"/>
          <w:lang w:val="tr-TR"/>
          <w:vertAlign w:val="subscript"/>
        </w:rPr>
        <w:t xml:space="preserve">b</w:t>
      </w:r>
      <w:r>
        <w:rPr>
          <w:rFonts w:ascii="Times New Roman" w:hAnsi="Times New Roman" w:cs="Times New Roman"/>
          <w:lang w:val="tr-TR"/>
        </w:rPr>
        <w:t xml:space="preserve"> biçimini alır. Eşitliğin iki tarafında hacimler aynı birimle (L ya da mL) yazıldığında birimler sadeleşir. 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A’daki değerler ile Analiz ve Keşif Atölyesi 2.11.’deki örnek deney verileri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