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CEVAP ANAHTARI</w:t>
      </w:r>
    </w:p>
    <w:p>
      <w:pPr>
        <w:jc w:val="both"/>
        <w:rPr>
          <w:rFonts w:ascii="Times New Roman" w:hAnsi="Times New Roman" w:cs="Times New Roman"/>
          <w:b/>
          <w:bCs/>
          <w:lang w:val="tr-TR"/>
        </w:rPr>
      </w:pPr>
      <w:r>
        <w:rPr>
          <w:rFonts w:ascii="Times New Roman" w:hAnsi="Times New Roman" w:cs="Times New Roman"/>
          <w:b/>
          <w:bCs/>
          <w:lang w:val="tr-TR"/>
        </w:rPr>
        <w:t xml:space="preserve">TEMA: SÜRDÜRÜLEBİLİRLİK</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3.1.</w:t>
      </w:r>
    </w:p>
    <w:p>
      <w:pPr>
        <w:jc w:val="both"/>
        <w:rPr>
          <w:rFonts w:ascii="Times New Roman" w:hAnsi="Times New Roman" w:cs="Times New Roman"/>
          <w:lang w:val="tr-TR"/>
        </w:rPr>
      </w:pPr>
      <w:r>
        <w:rPr>
          <w:rFonts w:ascii="Times New Roman" w:hAnsi="Times New Roman" w:cs="Times New Roman"/>
          <w:lang w:val="tr-TR"/>
        </w:rPr>
        <w:t xml:space="preserve">Öğrenci özgün cevaplarını oluşturur. Hidrojenin yanma denklemi: 2H</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yanma ürünü yalnızca su olduğu için sera gazı oluşmaz. Örnek değişkenler: bağımsız değişken evsel atık türü, bağımlı değişken toplanan gaz miktarı, kontrol değişkenleri atık kütlesi, su ve maya miktarı, sıcaklık, ışık, süre.</w:t>
      </w:r>
    </w:p>
    <w:p>
      <w:pPr>
        <w:jc w:val="both"/>
        <w:rPr>
          <w:rFonts w:ascii="Times New Roman" w:hAnsi="Times New Roman" w:cs="Times New Roman"/>
          <w:b/>
          <w:bCs/>
          <w:lang w:val="tr-TR"/>
        </w:rPr>
      </w:pPr>
      <w:r>
        <w:rPr>
          <w:rFonts w:ascii="Times New Roman" w:hAnsi="Times New Roman" w:cs="Times New Roman"/>
          <w:b/>
          <w:bCs/>
          <w:lang w:val="tr-TR"/>
        </w:rPr>
        <w:t xml:space="preserve">Sıra Sizde 3.1.</w:t>
      </w:r>
    </w:p>
    <w:p>
      <w:pPr>
        <w:jc w:val="both"/>
        <w:rPr>
          <w:rFonts w:ascii="Times New Roman" w:hAnsi="Times New Roman" w:cs="Times New Roman"/>
          <w:lang w:val="tr-TR"/>
        </w:rPr>
      </w:pPr>
      <w:r>
        <w:rPr>
          <w:rFonts w:ascii="Times New Roman" w:hAnsi="Times New Roman" w:cs="Times New Roman"/>
          <w:lang w:val="tr-TR"/>
        </w:rPr>
        <w:t xml:space="preserve">1. D, Y, D, Y, D</w:t>
      </w:r>
    </w:p>
    <w:p>
      <w:pPr>
        <w:jc w:val="both"/>
        <w:rPr>
          <w:rFonts w:ascii="Times New Roman" w:hAnsi="Times New Roman" w:cs="Times New Roman"/>
          <w:lang w:val="tr-TR"/>
        </w:rPr>
      </w:pPr>
      <w:r>
        <w:rPr>
          <w:rFonts w:ascii="Times New Roman" w:hAnsi="Times New Roman" w:cs="Times New Roman"/>
          <w:lang w:val="tr-TR"/>
        </w:rPr>
        <w:t xml:space="preserve">2. Patates kabuğu nişasta bakımından zengindir; fermantasyonla parçalanabilecek karbonhidrat miktarı fazla olduğu için daha fazla gaz oluşur. Marul yaprağının büyük kısmı su ve selüloz içerir.</w:t>
      </w:r>
    </w:p>
    <w:p>
      <w:pPr>
        <w:jc w:val="both"/>
        <w:rPr>
          <w:rFonts w:ascii="Times New Roman" w:hAnsi="Times New Roman" w:cs="Times New Roman"/>
          <w:lang w:val="tr-TR"/>
        </w:rPr>
      </w:pPr>
      <w:r>
        <w:rPr>
          <w:rFonts w:ascii="Times New Roman" w:hAnsi="Times New Roman" w:cs="Times New Roman"/>
          <w:lang w:val="tr-TR"/>
        </w:rPr>
        <w:t xml:space="preserve">3. Azalır. Düşük sıcaklıkta mikroorganizmaların ve enzimlerin etkinliği azalır, fermantasyon yavaşlar.</w:t>
      </w:r>
    </w:p>
    <w:p>
      <w:pPr>
        <w:jc w:val="both"/>
        <w:rPr>
          <w:rFonts w:ascii="Times New Roman" w:hAnsi="Times New Roman" w:cs="Times New Roman"/>
          <w:lang w:val="tr-TR"/>
        </w:rPr>
      </w:pPr>
      <w:r>
        <w:rPr>
          <w:rFonts w:ascii="Times New Roman" w:hAnsi="Times New Roman" w:cs="Times New Roman"/>
          <w:lang w:val="tr-TR"/>
        </w:rPr>
        <w:t xml:space="preserve">4. 90 g glikoz = 0,5 mol; 0,5 · 4 = 2 mol H</w:t>
      </w:r>
      <w:r>
        <w:rPr>
          <w:rFonts w:ascii="Times New Roman" w:hAnsi="Times New Roman" w:cs="Times New Roman"/>
          <w:vertAlign w:val="subscript"/>
          <w:lang w:val="tr-TR"/>
        </w:rPr>
        <w:t xml:space="preserve">2</w:t>
      </w:r>
    </w:p>
    <w:p>
      <w:pPr>
        <w:jc w:val="both"/>
        <w:rPr>
          <w:rFonts w:ascii="Times New Roman" w:hAnsi="Times New Roman" w:cs="Times New Roman"/>
          <w:lang w:val="tr-TR"/>
        </w:rPr>
      </w:pPr>
      <w:r>
        <w:rPr>
          <w:rFonts w:ascii="Times New Roman" w:hAnsi="Times New Roman" w:cs="Times New Roman"/>
          <w:lang w:val="tr-TR"/>
        </w:rPr>
        <w:t xml:space="preserve">5. Ortamda biriken hidrojen gazının kısmi basıncı arttıkça hidrojen üretimi yavaşlar ve hidrojeni tüketen mikroorganizmaların etkinliği artar. Oluşan gaz düzenli olarak ortamdan uzaklaştırılmalı (ya da ortama azot gibi bir gaz gönderilerek hidrojenin kısmi basıncı düşürülmelidir).</w:t>
      </w:r>
    </w:p>
    <w:p>
      <w:pPr>
        <w:jc w:val="both"/>
        <w:rPr>
          <w:rFonts w:ascii="Times New Roman" w:hAnsi="Times New Roman" w:cs="Times New Roman"/>
          <w:lang w:val="tr-TR"/>
        </w:rPr>
      </w:pPr>
      <w:r>
        <w:rPr>
          <w:rFonts w:ascii="Times New Roman" w:hAnsi="Times New Roman" w:cs="Times New Roman"/>
          <w:lang w:val="tr-TR"/>
        </w:rPr>
        <w:t xml:space="preserve">6. Biyofotoliz: siyanobakteri ve mikroalgler, ışık gerekir, sudan H</w:t>
      </w:r>
      <w:r>
        <w:rPr>
          <w:rFonts w:ascii="Times New Roman" w:hAnsi="Times New Roman" w:cs="Times New Roman"/>
          <w:vertAlign w:val="subscript"/>
          <w:lang w:val="tr-TR"/>
        </w:rPr>
        <w:t xml:space="preserve">2</w:t>
      </w:r>
      <w:r>
        <w:rPr>
          <w:rFonts w:ascii="Times New Roman" w:hAnsi="Times New Roman" w:cs="Times New Roman"/>
          <w:lang w:val="tr-TR"/>
        </w:rPr>
        <w:t xml:space="preserve"> ve 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Fotofermantasyon: fotosentetik bakteriler, ışık gerekir, organik asitlerden H</w:t>
      </w:r>
      <w:r>
        <w:rPr>
          <w:rFonts w:ascii="Times New Roman" w:hAnsi="Times New Roman" w:cs="Times New Roman"/>
          <w:vertAlign w:val="subscript"/>
          <w:lang w:val="tr-TR"/>
        </w:rPr>
        <w:t xml:space="preserve">2</w:t>
      </w:r>
      <w:r>
        <w:rPr>
          <w:rFonts w:ascii="Times New Roman" w:hAnsi="Times New Roman" w:cs="Times New Roman"/>
          <w:lang w:val="tr-TR"/>
        </w:rPr>
        <w:t xml:space="preserve"> ve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Karanlık fermantasyon: anaerobik bakteriler, ışık gerekmez, karbonhidratlardan H</w:t>
      </w:r>
      <w:r>
        <w:rPr>
          <w:rFonts w:ascii="Times New Roman" w:hAnsi="Times New Roman" w:cs="Times New Roman"/>
          <w:vertAlign w:val="subscript"/>
          <w:lang w:val="tr-TR"/>
        </w:rPr>
        <w:t xml:space="preserve">2</w:t>
      </w:r>
      <w:r>
        <w:rPr>
          <w:rFonts w:ascii="Times New Roman" w:hAnsi="Times New Roman" w:cs="Times New Roman"/>
          <w:lang w:val="tr-TR"/>
        </w:rPr>
        <w:t xml:space="preserve">, CO</w:t>
      </w:r>
      <w:r>
        <w:rPr>
          <w:rFonts w:ascii="Times New Roman" w:hAnsi="Times New Roman" w:cs="Times New Roman"/>
          <w:vertAlign w:val="subscript"/>
          <w:lang w:val="tr-TR"/>
        </w:rPr>
        <w:t xml:space="preserve">2</w:t>
      </w:r>
      <w:r>
        <w:rPr>
          <w:rFonts w:ascii="Times New Roman" w:hAnsi="Times New Roman" w:cs="Times New Roman"/>
          <w:lang w:val="tr-TR"/>
        </w:rPr>
        <w:t xml:space="preserve"> ve organik asitler oluşur.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3.2.</w:t>
      </w:r>
    </w:p>
    <w:p>
      <w:pPr>
        <w:jc w:val="both"/>
        <w:rPr>
          <w:rFonts w:ascii="Times New Roman" w:hAnsi="Times New Roman" w:cs="Times New Roman"/>
          <w:lang w:val="tr-TR"/>
        </w:rPr>
      </w:pPr>
      <w:r>
        <w:rPr>
          <w:rFonts w:ascii="Times New Roman" w:hAnsi="Times New Roman" w:cs="Times New Roman"/>
          <w:lang w:val="tr-TR"/>
        </w:rPr>
        <w:t xml:space="preserve">Öğrenci özgün cevaplarını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3.2.</w:t>
      </w:r>
    </w:p>
    <w:p>
      <w:pPr>
        <w:jc w:val="both"/>
        <w:rPr>
          <w:rFonts w:ascii="Times New Roman" w:hAnsi="Times New Roman" w:cs="Times New Roman"/>
          <w:lang w:val="tr-TR"/>
        </w:rPr>
      </w:pPr>
      <w:r>
        <w:rPr>
          <w:rFonts w:ascii="Times New Roman" w:hAnsi="Times New Roman" w:cs="Times New Roman"/>
          <w:lang w:val="tr-TR"/>
        </w:rPr>
        <w:t xml:space="preserve">1. Yara bandı: bakteri çoğalmasını engeller / gümüşün çevreye ve faydalı bakterilere etkisi. Güneş kremi: UV korunması, beyaz iz bırakmaması / denize geçen parçacıkların su canlılarına olası etkisi. Ambalaj: raf ömrünü uzatır / nanoparçacıkların gıdaya geçme olasılığı ve geri dönüşüm zorluğu.</w:t>
      </w:r>
    </w:p>
    <w:p>
      <w:pPr>
        <w:jc w:val="both"/>
        <w:rPr>
          <w:rFonts w:ascii="Times New Roman" w:hAnsi="Times New Roman" w:cs="Times New Roman"/>
          <w:lang w:val="tr-TR"/>
        </w:rPr>
      </w:pPr>
      <w:r>
        <w:rPr>
          <w:rFonts w:ascii="Times New Roman" w:hAnsi="Times New Roman" w:cs="Times New Roman"/>
          <w:lang w:val="tr-TR"/>
        </w:rPr>
        <w:t xml:space="preserve">2. Nanoparçacıkların aynı kütledeki iri parçacıklara göre toplam yüzey alanı çok büyüktür; tepkenlerle temas eden yüzey ve etkin çarpışma sayısı artar.</w:t>
      </w:r>
    </w:p>
    <w:p>
      <w:pPr>
        <w:jc w:val="both"/>
        <w:rPr>
          <w:rFonts w:ascii="Times New Roman" w:hAnsi="Times New Roman" w:cs="Times New Roman"/>
          <w:lang w:val="tr-TR"/>
        </w:rPr>
      </w:pPr>
      <w:r>
        <w:rPr>
          <w:rFonts w:ascii="Times New Roman" w:hAnsi="Times New Roman" w:cs="Times New Roman"/>
          <w:lang w:val="tr-TR"/>
        </w:rPr>
        <w:t xml:space="preserve">3. (10</w:t>
      </w:r>
      <w:r>
        <w:rPr>
          <w:rFonts w:ascii="Times New Roman" w:hAnsi="Times New Roman" w:cs="Times New Roman"/>
          <w:vertAlign w:val="superscript"/>
          <w:lang w:val="tr-TR"/>
        </w:rPr>
        <w:t xml:space="preserve">7</w:t>
      </w:r>
      <w:r>
        <w:rPr>
          <w:rFonts w:ascii="Times New Roman" w:hAnsi="Times New Roman" w:cs="Times New Roman"/>
          <w:lang w:val="tr-TR"/>
        </w:rPr>
        <w:t xml:space="preserve">)</w:t>
      </w:r>
      <w:r>
        <w:rPr>
          <w:rFonts w:ascii="Times New Roman" w:hAnsi="Times New Roman" w:cs="Times New Roman"/>
          <w:vertAlign w:val="superscript"/>
          <w:lang w:val="tr-TR"/>
        </w:rPr>
        <w:t xml:space="preserve">3</w:t>
      </w:r>
      <w:r>
        <w:rPr>
          <w:rFonts w:ascii="Times New Roman" w:hAnsi="Times New Roman" w:cs="Times New Roman"/>
          <w:lang w:val="tr-TR"/>
        </w:rPr>
        <w:t xml:space="preserve"> = 10</w:t>
      </w:r>
      <w:r>
        <w:rPr>
          <w:rFonts w:ascii="Times New Roman" w:hAnsi="Times New Roman" w:cs="Times New Roman"/>
          <w:vertAlign w:val="superscript"/>
          <w:lang w:val="tr-TR"/>
        </w:rPr>
        <w:t xml:space="preserve">21</w:t>
      </w:r>
      <w:r>
        <w:rPr>
          <w:rFonts w:ascii="Times New Roman" w:hAnsi="Times New Roman" w:cs="Times New Roman"/>
          <w:lang w:val="tr-TR"/>
        </w:rPr>
        <w:t xml:space="preserve"> küp elde edilir. Toplam yüzey alanı 10</w:t>
      </w:r>
      <w:r>
        <w:rPr>
          <w:rFonts w:ascii="Times New Roman" w:hAnsi="Times New Roman" w:cs="Times New Roman"/>
          <w:vertAlign w:val="superscript"/>
          <w:lang w:val="tr-TR"/>
        </w:rPr>
        <w:t xml:space="preserve">7</w:t>
      </w:r>
      <w:r>
        <w:rPr>
          <w:rFonts w:ascii="Times New Roman" w:hAnsi="Times New Roman" w:cs="Times New Roman"/>
          <w:lang w:val="tr-TR"/>
        </w:rPr>
        <w:t xml:space="preserve"> katına çıkar (6 cm</w:t>
      </w:r>
      <w:r>
        <w:rPr>
          <w:rFonts w:ascii="Times New Roman" w:hAnsi="Times New Roman" w:cs="Times New Roman"/>
          <w:vertAlign w:val="superscript"/>
          <w:lang w:val="tr-TR"/>
        </w:rPr>
        <w:t xml:space="preserve">2</w:t>
      </w:r>
      <w:r>
        <w:rPr>
          <w:rFonts w:ascii="Times New Roman" w:hAnsi="Times New Roman" w:cs="Times New Roman"/>
          <w:lang w:val="tr-TR"/>
        </w:rPr>
        <w:t xml:space="preserve"> → 6·10</w:t>
      </w:r>
      <w:r>
        <w:rPr>
          <w:rFonts w:ascii="Times New Roman" w:hAnsi="Times New Roman" w:cs="Times New Roman"/>
          <w:vertAlign w:val="superscript"/>
          <w:lang w:val="tr-TR"/>
        </w:rPr>
        <w:t xml:space="preserve">7</w:t>
      </w:r>
      <w:r>
        <w:rPr>
          <w:rFonts w:ascii="Times New Roman" w:hAnsi="Times New Roman" w:cs="Times New Roman"/>
          <w:lang w:val="tr-TR"/>
        </w:rPr>
        <w:t xml:space="preserve"> cm</w:t>
      </w:r>
      <w:r>
        <w:rPr>
          <w:rFonts w:ascii="Times New Roman" w:hAnsi="Times New Roman" w:cs="Times New Roman"/>
          <w:vertAlign w:val="superscript"/>
          <w:lang w:val="tr-TR"/>
        </w:rPr>
        <w:t xml:space="preserve">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 Örnek: Ürünün gerçek bir ihtiyaca yönelik faydası, etiket/içerik bilgisinin açıklığı, kullanım ve atık aşamasındaki çevresel etkileri, sağlık güvenliği.</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3.3.</w:t>
      </w:r>
    </w:p>
    <w:p>
      <w:pPr>
        <w:jc w:val="both"/>
        <w:rPr>
          <w:rFonts w:ascii="Times New Roman" w:hAnsi="Times New Roman" w:cs="Times New Roman"/>
          <w:lang w:val="tr-TR"/>
        </w:rPr>
      </w:pPr>
      <w:r>
        <w:rPr>
          <w:rFonts w:ascii="Times New Roman" w:hAnsi="Times New Roman" w:cs="Times New Roman"/>
          <w:lang w:val="tr-TR"/>
        </w:rPr>
        <w:t xml:space="preserve">Öğrenci özgün cevaplarını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3.3.</w:t>
      </w:r>
    </w:p>
    <w:p>
      <w:pPr>
        <w:jc w:val="both"/>
        <w:rPr>
          <w:rFonts w:ascii="Times New Roman" w:hAnsi="Times New Roman" w:cs="Times New Roman"/>
          <w:lang w:val="tr-TR"/>
        </w:rPr>
      </w:pPr>
      <w:r>
        <w:rPr>
          <w:rFonts w:ascii="Times New Roman" w:hAnsi="Times New Roman" w:cs="Times New Roman"/>
          <w:lang w:val="tr-TR"/>
        </w:rPr>
        <w:t xml:space="preserve">1. 1-c, 2-ç, 3-b, 4-a</w:t>
      </w:r>
    </w:p>
    <w:p>
      <w:pPr>
        <w:jc w:val="both"/>
        <w:rPr>
          <w:rFonts w:ascii="Times New Roman" w:hAnsi="Times New Roman" w:cs="Times New Roman"/>
          <w:lang w:val="tr-TR"/>
        </w:rPr>
      </w:pPr>
      <w:r>
        <w:rPr>
          <w:rFonts w:ascii="Times New Roman" w:hAnsi="Times New Roman" w:cs="Times New Roman"/>
          <w:lang w:val="tr-TR"/>
        </w:rPr>
        <w:t xml:space="preserve">2. a) Evet; sentetik lifler (mikrofiberler) kopar, bunlar birincil mikroplastiktir. b) Hayır; cam plastik değildir. c) Evet; UV ve fiziksel etkilerle parçalanır. ç) Evet; lastik parçacıkları mikroplastik kaynağıdır.</w:t>
      </w:r>
    </w:p>
    <w:p>
      <w:pPr>
        <w:jc w:val="both"/>
        <w:rPr>
          <w:rFonts w:ascii="Times New Roman" w:hAnsi="Times New Roman" w:cs="Times New Roman"/>
          <w:lang w:val="tr-TR"/>
        </w:rPr>
      </w:pPr>
      <w:r>
        <w:rPr>
          <w:rFonts w:ascii="Times New Roman" w:hAnsi="Times New Roman" w:cs="Times New Roman"/>
          <w:lang w:val="tr-TR"/>
        </w:rPr>
        <w:t xml:space="preserve">3. Örnek şema: plastik atık → denizde parçalanma → plankton/küçük balık → büyük balık → insan.</w:t>
      </w:r>
    </w:p>
    <w:p>
      <w:pPr>
        <w:jc w:val="both"/>
        <w:rPr>
          <w:rFonts w:ascii="Times New Roman" w:hAnsi="Times New Roman" w:cs="Times New Roman"/>
          <w:lang w:val="tr-TR"/>
        </w:rPr>
      </w:pPr>
      <w:r>
        <w:rPr>
          <w:rFonts w:ascii="Times New Roman" w:hAnsi="Times New Roman" w:cs="Times New Roman"/>
          <w:lang w:val="tr-TR"/>
        </w:rPr>
        <w:t xml:space="preserve">4. Öğrenci özgün cevaplarını oluşturur (tek kullanımlık plastikleri azaltmak, geri dönüşüm, mikroboncuklu ürün kullanmamak vb.).</w:t>
      </w:r>
    </w:p>
    <w:p>
      <w:pPr>
        <w:jc w:val="both"/>
        <w:rPr>
          <w:rFonts w:ascii="Times New Roman" w:hAnsi="Times New Roman" w:cs="Times New Roman"/>
          <w:lang w:val="tr-TR"/>
        </w:rPr>
      </w:pPr>
      <w:r>
        <w:rPr>
          <w:rFonts w:ascii="Times New Roman" w:hAnsi="Times New Roman" w:cs="Times New Roman"/>
          <w:lang w:val="tr-TR"/>
        </w:rPr>
        <w:t xml:space="preserve">5. Balıkçıllar. Her basamaktaki canlı, bir alt basamaktan çok sayıda canlıyı besin olarak tükettiği ve plastik parçacıklar vücuttan kolayca atılmadığı için mikroplastikler besin zincirinin üst basamaklarına doğru birikir.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