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p>
      <w:pPr>
        <w:jc w:val="center"/>
      </w:pPr>
      <w:r>
        <w:drawing>
          <wp:inline xmlns:a="http://schemas.openxmlformats.org/drawingml/2006/main" xmlns:pic="http://schemas.openxmlformats.org/drawingml/2006/picture">
            <wp:extent cx="3960000" cy="3667892"/>
            <wp:docPr id="900008" name="Picture 900008"/>
            <wp:cNvGraphicFramePr>
              <a:graphicFrameLocks noChangeAspect="1"/>
            </wp:cNvGraphicFramePr>
            <a:graphic>
              <a:graphicData uri="http://schemas.openxmlformats.org/drawingml/2006/picture">
                <pic:pic>
                  <pic:nvPicPr>
                    <pic:cNvPr id="0" name="k11_21_NO2_N2O4_tupler.png"/>
                    <pic:cNvPicPr/>
                  </pic:nvPicPr>
                  <pic:blipFill>
                    <a:blip r:embed="rId15"/>
                    <a:stretch>
                      <a:fillRect/>
                    </a:stretch>
                  </pic:blipFill>
                  <pic:spPr>
                    <a:xfrm>
                      <a:off x="0" y="0"/>
                      <a:ext cx="3960000" cy="3667892"/>
                    </a:xfrm>
                    <a:prstGeom prst="rect"/>
                  </pic:spPr>
                </pic:pic>
              </a:graphicData>
            </a:graphic>
          </wp:inline>
        </w:drawing>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590805"/>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59080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koşulları değiştirilen bir denge sistemi, bu değişikliği kısmen karşılayan yönde kayar. Derişim, hacim (basınç) ve sıcaklık dengeyi kaydırabilir; denge sabitini yalnızca sıcaklık değiştirir. Katalizör dengeye daha kısa sürede ulaşılmasını sağlar ancak dengeyi kaydırmaz.</w:t>
      </w:r>
    </w:p>
    <w:p>
      <w:pPr>
        <w:jc w:val="center"/>
      </w:pPr>
      <w:r>
        <w:drawing>
          <wp:inline xmlns:a="http://schemas.openxmlformats.org/drawingml/2006/main" xmlns:pic="http://schemas.openxmlformats.org/drawingml/2006/picture">
            <wp:extent cx="1833300" cy="2520000"/>
            <wp:docPr id="900005" name="Picture 900005"/>
            <wp:cNvGraphicFramePr>
              <a:graphicFrameLocks noChangeAspect="1"/>
            </wp:cNvGraphicFramePr>
            <a:graphic>
              <a:graphicData uri="http://schemas.openxmlformats.org/drawingml/2006/picture">
                <pic:pic>
                  <pic:nvPicPr>
                    <pic:cNvPr id="0" name="2328878629_d.jpg"/>
                    <pic:cNvPicPr/>
                  </pic:nvPicPr>
                  <pic:blipFill>
                    <a:blip r:embed="rId12"/>
                    <a:stretch>
                      <a:fillRect/>
                    </a:stretch>
                  </pic:blipFill>
                  <pic:spPr>
                    <a:xfrm>
                      <a:off x="0" y="0"/>
                      <a:ext cx="18333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2328878629</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p>
      <w:pPr>
        <w:jc w:val="center"/>
      </w:pPr>
      <w:r>
        <w:drawing>
          <wp:inline xmlns:a="http://schemas.openxmlformats.org/drawingml/2006/main" xmlns:pic="http://schemas.openxmlformats.org/drawingml/2006/picture">
            <wp:extent cx="2151450" cy="2520000"/>
            <wp:docPr id="900006" name="Picture 900006"/>
            <wp:cNvGraphicFramePr>
              <a:graphicFrameLocks noChangeAspect="1"/>
            </wp:cNvGraphicFramePr>
            <a:graphic>
              <a:graphicData uri="http://schemas.openxmlformats.org/drawingml/2006/picture">
                <pic:pic>
                  <pic:nvPicPr>
                    <pic:cNvPr id="0" name="2715446197_d.jpg"/>
                    <pic:cNvPicPr/>
                  </pic:nvPicPr>
                  <pic:blipFill>
                    <a:blip r:embed="rId13"/>
                    <a:stretch>
                      <a:fillRect/>
                    </a:stretch>
                  </pic:blipFill>
                  <pic:spPr>
                    <a:xfrm>
                      <a:off x="0" y="0"/>
                      <a:ext cx="215145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2715446197</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Bir asit ya da baz çözeltisinin bilinmeyen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p>
      <w:pPr>
        <w:jc w:val="center"/>
      </w:pPr>
      <w:r>
        <w:drawing>
          <wp:inline xmlns:a="http://schemas.openxmlformats.org/drawingml/2006/main" xmlns:pic="http://schemas.openxmlformats.org/drawingml/2006/picture">
            <wp:extent cx="3384064" cy="2520000"/>
            <wp:docPr id="900007" name="Picture 900007"/>
            <wp:cNvGraphicFramePr>
              <a:graphicFrameLocks noChangeAspect="1"/>
            </wp:cNvGraphicFramePr>
            <a:graphic>
              <a:graphicData uri="http://schemas.openxmlformats.org/drawingml/2006/picture">
                <pic:pic>
                  <pic:nvPicPr>
                    <pic:cNvPr id="0" name="2303124117_d.jpg"/>
                    <pic:cNvPicPr/>
                  </pic:nvPicPr>
                  <pic:blipFill>
                    <a:blip r:embed="rId14"/>
                    <a:stretch>
                      <a:fillRect/>
                    </a:stretch>
                  </pic:blipFill>
                  <pic:spPr>
                    <a:xfrm>
                      <a:off x="0" y="0"/>
                      <a:ext cx="338406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2303124117</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p>
      <w:pPr>
        <w:jc w:val="center"/>
      </w:pPr>
      <w:r>
        <w:drawing>
          <wp:inline xmlns:a="http://schemas.openxmlformats.org/drawingml/2006/main" xmlns:pic="http://schemas.openxmlformats.org/drawingml/2006/picture">
            <wp:extent cx="2964706" cy="2519999"/>
            <wp:docPr id="900004" name="Picture 900004"/>
            <wp:cNvGraphicFramePr>
              <a:graphicFrameLocks noChangeAspect="1"/>
            </wp:cNvGraphicFramePr>
            <a:graphic>
              <a:graphicData uri="http://schemas.openxmlformats.org/drawingml/2006/picture">
                <pic:pic>
                  <pic:nvPicPr>
                    <pic:cNvPr id="0" name="1941187255_d.jpg"/>
                    <pic:cNvPicPr/>
                  </pic:nvPicPr>
                  <pic:blipFill>
                    <a:blip r:embed="rId11"/>
                    <a:stretch>
                      <a:fillRect/>
                    </a:stretch>
                  </pic:blipFill>
                  <pic:spPr>
                    <a:xfrm>
                      <a:off x="0" y="0"/>
                      <a:ext cx="2964706"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1941187255</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The EQUILIBRIUM that exists between a partially soluble ionic compound and its saturated solution: Suda az çözünen iyonik bir bileşik ile doymuş çözeltisi arasında kurulan denge. Denklemdeki hâl simgeleri Türkçeleştirilecek: (s) → (k), (aq) → (suda), H2O(ℓ) → H₂O(s).</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 (e-içerik türü: Etkileşimli İçerik/Doküman): Öğrencilerin tepkime denge sürecindeki ileri ve geri tepkime hızları ile ilgili tahminlerini oluşturup sonuç çıkarabilecekleri animasyon veya simülasyon hazırlanır. </w:t>
      </w:r>
      <w:r>
        <w:rPr>
          <w:rFonts w:ascii="Times New Roman" w:hAnsi="Times New Roman" w:cs="Times New Roman"/>
          <w:lang w:val="tr-TR"/>
        </w:rPr>
        <w:t xml:space="preserve">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76149"/>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7614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01244"/>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38354" cy="2301244"/>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