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1301850" cy="1980000"/>
                  <wp:docPr id="900012" name="Picture 900012"/>
                  <wp:cNvGraphicFramePr>
                    <a:graphicFrameLocks noChangeAspect="1"/>
                  </wp:cNvGraphicFramePr>
                  <a:graphic>
                    <a:graphicData uri="http://schemas.openxmlformats.org/drawingml/2006/picture">
                      <pic:pic>
                        <pic:nvPicPr>
                          <pic:cNvPr id="0" name="188016662_d.jpg"/>
                          <pic:cNvPicPr/>
                        </pic:nvPicPr>
                        <pic:blipFill>
                          <a:blip r:embed="rId11"/>
                          <a:stretch>
                            <a:fillRect/>
                          </a:stretch>
                        </pic:blipFill>
                        <pic:spPr>
                          <a:xfrm>
                            <a:off x="0" y="0"/>
                            <a:ext cx="130185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188016662</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c>
        <w:tc>
          <w:tcPr>
            <w:tcW w:w="4500" w:type="dxa"/>
          </w:tcPr>
          <w:p>
            <w:pPr>
              <w:jc w:val="center"/>
            </w:pPr>
            <w:r>
              <w:drawing>
                <wp:inline xmlns:a="http://schemas.openxmlformats.org/drawingml/2006/main" xmlns:pic="http://schemas.openxmlformats.org/drawingml/2006/picture">
                  <wp:extent cx="2424489" cy="1979999"/>
                  <wp:docPr id="900013" name="Picture 900013"/>
                  <wp:cNvGraphicFramePr>
                    <a:graphicFrameLocks noChangeAspect="1"/>
                  </wp:cNvGraphicFramePr>
                  <a:graphic>
                    <a:graphicData uri="http://schemas.openxmlformats.org/drawingml/2006/picture">
                      <pic:pic>
                        <pic:nvPicPr>
                          <pic:cNvPr id="0" name="2565145733_d.jpg"/>
                          <pic:cNvPicPr/>
                        </pic:nvPicPr>
                        <pic:blipFill>
                          <a:blip r:embed="rId12"/>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2565145733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0,10 M hidroklorik asit ve 0,10 M sodyum hidroksit çözeltileri, fenolftalein, pH metre ya da pH kâğıdı, iletkenlik ölçer ya da pil-ampul (LED) düzeneği, büret ya da dereceli pipet ve beher gibi malzemeler kullanabilirsiniz. Deneyinizi gerçekleştirmek için farklı malzemeler de tercih edebilirsiniz. Deneyinizi gerçekleştirirken uymanız gereken güvenlik uyarılarını belirleyiniz. Ölçümlerinizi 20,0 mL asit çözeltisine eklenen baz çözeltisinin hacmine göre aşağıdaki tabloya kaydediniz.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627381"/>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2738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97485"/>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