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(Görsel A). Otoparkın boş olduğu bir anda (Görsel B) ise girişler çıkışlardan fazla olur ve araç sayısı artar. Kimyasal tepkimelerde de bir tepkimenin herhangi bir andaki durumuna bakarak dengeye ulaşıp ulaşmadığını ve dengeye hangi yönde ilerleyeceğini anlayabilir miyiz? Bu sorunun cevabını bir etkinlik yaparak keşfediniz. Analiz ve Keşif Atölyesi 2.4.’te bilimsel veriye dayalı tahminde bulunacaksınız: Farklı kaplardaki derişim verilerinden yola çıkarak tepkimenin dengede olup olmadığına ilişkin önermeler oluşturacak, tepkime oranını hesaplayarak tahminde bulunacak ve tahminlerinizi gözlem sonuçlarıyla sınayacaksınız. Farklı önermeleri tartışırken arkadaşlarınızı sözlerini kesmeden dinlemeniz saygı değerini, verileri dikkatle çözümlemeniz ise analitik düşünme eğiliminizi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1824"/>
                  <wp:docPr id="900006" name="Picture 900006"/>
                  <wp:cNvGraphicFramePr>
                    <a:graphicFrameLocks noChangeAspect="1"/>
                  </wp:cNvGraphicFramePr>
                  <a:graphic>
                    <a:graphicData uri="http://schemas.openxmlformats.org/drawingml/2006/picture">
                      <pic:pic>
                        <pic:nvPicPr>
                          <pic:cNvPr id="0" name="2207804187_d.jpg"/>
                          <pic:cNvPicPr/>
                        </pic:nvPicPr>
                        <pic:blipFill>
                          <a:blip r:embed="rId11"/>
                          <a:stretch>
                            <a:fillRect/>
                          </a:stretch>
                        </pic:blipFill>
                        <pic:spPr>
                          <a:xfrm>
                            <a:off x="0" y="0"/>
                            <a:ext cx="2664000" cy="1951824"/>
                          </a:xfrm>
                          <a:prstGeom prst="rect"/>
                        </pic:spPr>
                      </pic:pic>
                    </a:graphicData>
                  </a:graphic>
                </wp:inline>
              </w:drawing>
            </w:r>
          </w:p>
          <w:p>
            <w:pPr>
              <w:jc w:val="center"/>
            </w:pPr>
            <w:r>
              <w:rPr>
                <w:rFonts w:ascii="Times New Roman" w:hAnsi="Times New Roman" w:cs="Times New Roman"/>
                <w:b/>
                <w:bCs/>
                <w:highlight w:val="yellow"/>
                <w:lang w:val="tr-TR"/>
              </w:rPr>
              <w:t xml:space="preserve">Shutter id: 2207804187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tc>
        <w:tc>
          <w:tcPr>
            <w:tcW w:w="4500" w:type="dxa"/>
          </w:tcPr>
          <w:p>
            <w:pPr>
              <w:jc w:val="center"/>
            </w:pPr>
            <w:r>
              <w:drawing>
                <wp:inline xmlns:a="http://schemas.openxmlformats.org/drawingml/2006/main" xmlns:pic="http://schemas.openxmlformats.org/drawingml/2006/picture">
                  <wp:extent cx="2664000" cy="1728048"/>
                  <wp:docPr id="900007" name="Picture 900007"/>
                  <wp:cNvGraphicFramePr>
                    <a:graphicFrameLocks noChangeAspect="1"/>
                  </wp:cNvGraphicFramePr>
                  <a:graphic>
                    <a:graphicData uri="http://schemas.openxmlformats.org/drawingml/2006/picture">
                      <pic:pic>
                        <pic:nvPicPr>
                          <pic:cNvPr id="0" name="2734182717_d.jpg"/>
                          <pic:cNvPicPr/>
                        </pic:nvPicPr>
                        <pic:blipFill>
                          <a:blip r:embed="rId12"/>
                          <a:stretch>
                            <a:fillRect/>
                          </a:stretch>
                        </pic:blipFill>
                        <pic:spPr>
                          <a:xfrm>
                            <a:off x="0" y="0"/>
                            <a:ext cx="2664000" cy="1728048"/>
                          </a:xfrm>
                          <a:prstGeom prst="rect"/>
                        </pic:spPr>
                      </pic:pic>
                    </a:graphicData>
                  </a:graphic>
                </wp:inline>
              </w:drawing>
            </w:r>
          </w:p>
          <w:p>
            <w:pPr>
              <w:jc w:val="center"/>
            </w:pPr>
            <w:r>
              <w:rPr>
                <w:rFonts w:ascii="Times New Roman" w:hAnsi="Times New Roman" w:cs="Times New Roman"/>
                <w:b/>
                <w:bCs/>
                <w:highlight w:val="yellow"/>
                <w:lang w:val="tr-TR"/>
              </w:rPr>
              <w:t xml:space="preserve">Shutter id: 2734182717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Boş bir otopark</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 Tartışma sırasında söz almak için sıranızı bekleyiniz, arkadaşlarınızın sözünü kesmeden onları dinleyiniz ve farklı görüşlere saygı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karşılaştırınız. Bu karşılaştırmaya dayanarak her kaptaki tepkimenin dengede olup olmadığını, dengede değilse hangi yönde ilerleyeceğini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tepkime oranı ile belirlenebilir.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Aynı sıcaklıkta Q</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karşılaştırılarak tepkimenin dengede olup olmadığı, dengede değilse dengeye ulaşmak için hangi yönde ilerleyeceği tahmin edilir. İleri ve geri tepkime hızları r</w:t>
      </w:r>
      <w:r>
        <w:rPr>
          <w:rFonts w:ascii="Times New Roman" w:hAnsi="Times New Roman" w:cs="Times New Roman"/>
          <w:lang w:val="tr-TR"/>
          <w:vertAlign w:val="subscript"/>
        </w:rPr>
        <w:t xml:space="preserve">i</w:t>
      </w:r>
      <w:r>
        <w:rPr>
          <w:rFonts w:ascii="Times New Roman" w:hAnsi="Times New Roman" w:cs="Times New Roman"/>
          <w:lang w:val="tr-TR"/>
        </w:rPr>
        <w:t xml:space="preserve"> ve r</w:t>
      </w:r>
      <w:r>
        <w:rPr>
          <w:rFonts w:ascii="Times New Roman" w:hAnsi="Times New Roman" w:cs="Times New Roman"/>
          <w:lang w:val="tr-TR"/>
          <w:vertAlign w:val="subscript"/>
        </w:rPr>
        <w:t xml:space="preserve">g</w:t>
      </w:r>
      <w:r>
        <w:rPr>
          <w:rFonts w:ascii="Times New Roman" w:hAnsi="Times New Roman" w:cs="Times New Roman"/>
          <w:lang w:val="tr-TR"/>
        </w:rPr>
        <w:t xml:space="preserve"> ile gösterildiğinde bu karşılaştırmanın sonuçları aşağıdaki gibi özetlenebilir: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 r</w:t>
            </w:r>
            <w:r>
              <w:rPr>
                <w:rFonts w:ascii="Times New Roman" w:hAnsi="Times New Roman" w:cs="Times New Roman"/>
                <w:sz w:val="20"/>
                <w:szCs w:val="20"/>
                <w:lang w:val="tr-TR"/>
                <w:vertAlign w:val="subscript"/>
              </w:rPr>
              <w:t xml:space="preserve">g</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&lt;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küçüktür.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&gt;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büyüktür.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Dengede tepken ve ürün derişimlerinin belirli değerlere sahip olması gerekmez. Örneğin belirli bir sıcaklıkta 2BrCl(g)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0,25’tir. Bu sıcaklıkta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mol/L olan bir karışımda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(0,10·0,10)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0,040 mol/L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olan başka bir karışımda ise Q</w:t>
      </w:r>
      <w:r>
        <w:rPr>
          <w:rFonts w:ascii="Times New Roman" w:hAnsi="Times New Roman" w:cs="Times New Roman"/>
          <w:lang w:val="tr-TR"/>
          <w:vertAlign w:val="subscript"/>
        </w:rPr>
        <w:t xml:space="preserve">c</w:t>
      </w:r>
      <w:r>
        <w:rPr>
          <w:rFonts w:ascii="Times New Roman" w:hAnsi="Times New Roman" w:cs="Times New Roman"/>
          <w:lang w:val="tr-TR"/>
        </w:rPr>
        <w:t xml:space="preserve"> = (0,040·0,25)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0,25’tir. Derişimleri farklı olsa da iki karışımda 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her ikisi de dengededir. Aynı sıcaklıkta sonsuz sayıda farklı denge bileşimi bulunabilir; ancak bu bileşimlerin hepsi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 sağlar.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