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p>
      <w:pPr>
        <w:jc w:val="center"/>
      </w:pPr>
      <w:r>
        <w:drawing>
          <wp:inline xmlns:a="http://schemas.openxmlformats.org/drawingml/2006/main" xmlns:pic="http://schemas.openxmlformats.org/drawingml/2006/picture">
            <wp:extent cx="5400000" cy="3967200"/>
            <wp:docPr id="900014" name="Picture 900014"/>
            <wp:cNvGraphicFramePr>
              <a:graphicFrameLocks noChangeAspect="1"/>
            </wp:cNvGraphicFramePr>
            <a:graphic>
              <a:graphicData uri="http://schemas.openxmlformats.org/drawingml/2006/picture">
                <pic:pic>
                  <pic:nvPicPr>
                    <pic:cNvPr id="0" name="2760185255_d.jpg"/>
                    <pic:cNvPicPr/>
                  </pic:nvPicPr>
                  <pic:blipFill>
                    <a:blip r:embed="rId12"/>
                    <a:stretch>
                      <a:fillRect/>
                    </a:stretch>
                  </pic:blipFill>
                  <pic:spPr>
                    <a:xfrm>
                      <a:off x="0" y="0"/>
                      <a:ext cx="5400000" cy="3967200"/>
                    </a:xfrm>
                    <a:prstGeom prst="rect"/>
                  </pic:spPr>
                </pic:pic>
              </a:graphicData>
            </a:graphic>
          </wp:inline>
        </w:drawing>
      </w:r>
    </w:p>
    <w:p>
      <w:pPr>
        <w:jc w:val="center"/>
      </w:pPr>
      <w:r>
        <w:rPr>
          <w:rFonts w:ascii="Times New Roman" w:hAnsi="Times New Roman" w:cs="Times New Roman"/>
          <w:b/>
          <w:bCs/>
          <w:highlight w:val="yellow"/>
          <w:lang w:val="tr-TR"/>
        </w:rPr>
        <w:t xml:space="preserve">Shutter id: 2760185255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7152"/>
                  <wp:docPr id="900015" name="Picture 900015"/>
                  <wp:cNvGraphicFramePr>
                    <a:graphicFrameLocks noChangeAspect="1"/>
                  </wp:cNvGraphicFramePr>
                  <a:graphic>
                    <a:graphicData uri="http://schemas.openxmlformats.org/drawingml/2006/picture">
                      <pic:pic>
                        <pic:nvPicPr>
                          <pic:cNvPr id="0" name="2813805813_d.jpg"/>
                          <pic:cNvPicPr/>
                        </pic:nvPicPr>
                        <pic:blipFill>
                          <a:blip r:embed="rId13"/>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2813805813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p>
            <w:pPr>
              <w:jc w:val="center"/>
            </w:pPr>
            <w:r>
              <w:drawing>
                <wp:inline xmlns:a="http://schemas.openxmlformats.org/drawingml/2006/main" xmlns:pic="http://schemas.openxmlformats.org/drawingml/2006/picture">
                  <wp:extent cx="2664000" cy="1953600"/>
                  <wp:docPr id="900016" name="Picture 900016"/>
                  <wp:cNvGraphicFramePr>
                    <a:graphicFrameLocks noChangeAspect="1"/>
                  </wp:cNvGraphicFramePr>
                  <a:graphic>
                    <a:graphicData uri="http://schemas.openxmlformats.org/drawingml/2006/picture">
                      <pic:pic>
                        <pic:nvPicPr>
                          <pic:cNvPr id="0" name="2678640755_d.jpg"/>
                          <pic:cNvPicPr/>
                        </pic:nvPicPr>
                        <pic:blipFill>
                          <a:blip r:embed="rId14"/>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2678640755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7" name="Picture 900017"/>
                  <wp:cNvGraphicFramePr>
                    <a:graphicFrameLocks noChangeAspect="1"/>
                  </wp:cNvGraphicFramePr>
                  <a:graphic>
                    <a:graphicData uri="http://schemas.openxmlformats.org/drawingml/2006/picture">
                      <pic:pic>
                        <pic:nvPicPr>
                          <pic:cNvPr id="0" name="2601219685_d.jpg"/>
                          <pic:cNvPicPr/>
                        </pic:nvPicPr>
                        <pic:blipFill>
                          <a:blip r:embed="rId15"/>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2601219685</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p>
            <w:pPr>
              <w:jc w:val="center"/>
            </w:pPr>
            <w:r>
              <w:drawing>
                <wp:inline xmlns:a="http://schemas.openxmlformats.org/drawingml/2006/main" xmlns:pic="http://schemas.openxmlformats.org/drawingml/2006/picture">
                  <wp:extent cx="2113878" cy="1979999"/>
                  <wp:docPr id="900013" name="Picture 900013"/>
                  <wp:cNvGraphicFramePr>
                    <a:graphicFrameLocks noChangeAspect="1"/>
                  </wp:cNvGraphicFramePr>
                  <a:graphic>
                    <a:graphicData uri="http://schemas.openxmlformats.org/drawingml/2006/picture">
                      <pic:pic>
                        <pic:nvPicPr>
                          <pic:cNvPr id="0" name="2072502239_d.jpg"/>
                          <pic:cNvPicPr/>
                        </pic:nvPicPr>
                        <pic:blipFill>
                          <a:blip r:embed="rId11"/>
                          <a:stretch>
                            <a:fillRect/>
                          </a:stretch>
                        </pic:blipFill>
                        <pic:spPr>
                          <a:xfrm>
                            <a:off x="0" y="0"/>
                            <a:ext cx="2113878"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2072502239</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517653"/>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398018" cy="25176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Kristal, florit (CaF2) yapısının bir kesitiyle çizilmiştir: F− iyonları kare örgü oluşturur, Ca2+ iyonları karelerin dama düzenindeki merkezlerindedir (Ca2+ : F− = 1 : 2); iyon boyutları gerçek iyon yarıçaplarıyla orantılıdır. Görsel yeniden çizilirse bu düzen ve oran korunmalıdır.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