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Hidrojenin yanma denklemi: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yanma ürünü yalnızca su olduğu için sera gazı oluşmaz. Örnek değişkenler: bağımsız değişken evsel atık türü, bağımlı değişken toplanan gaz miktarı, kontrol değişkenleri atık kütlesi, su ve maya miktarı, sıcaklık, ışık, süre.</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Mısır tanesi nişasta bakımından zengindir; karanlık fermantasyonda bakterilerin parçalayabileceği karbonhidrat miktarı fazla olduğu için daha fazla hidrojen oluşur. Tavuk derisi ise çoğunlukla yağ ve protein içerir; yağ ve protein içeriği yüksek atıklardan karbonhidratça zengin atıklara göre daha az hidrojen elde edilir.</w:t>
      </w:r>
    </w:p>
    <w:p>
      <w:pPr>
        <w:jc w:val="both"/>
        <w:rPr>
          <w:rFonts w:ascii="Times New Roman" w:hAnsi="Times New Roman" w:cs="Times New Roman"/>
          <w:lang w:val="tr-TR"/>
        </w:rPr>
      </w:pPr>
      <w:r>
        <w:rPr>
          <w:rFonts w:ascii="Times New Roman" w:hAnsi="Times New Roman" w:cs="Times New Roman"/>
          <w:lang w:val="tr-TR"/>
        </w:rPr>
        <w:t xml:space="preserve">3. Azalır. Düşük sıcaklıkta mikroorganizmaların ve enzimlerin etkinliği azalır, fermantasyon yavaşlar.</w:t>
      </w:r>
    </w:p>
    <w:p>
      <w:pPr>
        <w:jc w:val="both"/>
        <w:rPr>
          <w:rFonts w:ascii="Times New Roman" w:hAnsi="Times New Roman" w:cs="Times New Roman"/>
          <w:lang w:val="tr-TR"/>
        </w:rPr>
      </w:pPr>
      <w:r>
        <w:rPr>
          <w:rFonts w:ascii="Times New Roman" w:hAnsi="Times New Roman" w:cs="Times New Roman"/>
          <w:lang w:val="tr-TR"/>
        </w:rPr>
        <w:t xml:space="preserve">4. 90 g glikoz = 0,5 mol; 0,5 · 4 = 2 mol 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5. Ortamda biriken hidrojen gazının kısmi basıncı arttıkça hidrojen üretimi yavaşlar ve hidrojeni tüketen mikroorganizmaların etkinliği artar. Oluşan gaz düzenli olarak ortamdan uzaklaştırılmalı (ya da ortama azot gibi bir gaz gönderilerek hidrojenin kısmi basıncı düşürülmelidir).</w:t>
      </w:r>
    </w:p>
    <w:p>
      <w:pPr>
        <w:jc w:val="both"/>
        <w:rPr>
          <w:rFonts w:ascii="Times New Roman" w:hAnsi="Times New Roman" w:cs="Times New Roman"/>
          <w:lang w:val="tr-TR"/>
        </w:rPr>
      </w:pPr>
      <w:r>
        <w:rPr>
          <w:rFonts w:ascii="Times New Roman" w:hAnsi="Times New Roman" w:cs="Times New Roman"/>
          <w:lang w:val="tr-TR"/>
        </w:rPr>
        <w:t xml:space="preserve">6. Biyofotoliz: siyanobakteri ve mikroalgler, ışık gerekir, sudan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Fotofermantasyon: fotosentetik bakteriler, ışık gerekir, organik asitlerden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Karanlık fermantasyon: anaerobik bakteriler, ışık gerekmez, karbonhidratlardan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organik asitler oluşur.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Örnek: Bisiklet gövdesi: hafif ve dayanıklıdır / üretim, aşınma ya da kırılma sırasında açığa çıkan karbon nanotüp liflerinin solunması, atık olduğunda çevreye karışması. Lityum iyon pil: daha fazla enerji depolar, daha hızlı şarj olur / atık pillerdeki nanomalzemelerin toprağa ve suya karışması, geri dönüşümün zorlaşması. Su arıtma cihazı: suyu bakteri, virüs ve bazı çözünmüş maddelerden arındırır / kullanılmış filtrelerin atık oluşturması, zar malzemesinden nanoparçacık salınma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toplam yüzey alanı çok büyüktür; tepkenlerle temas eden yüzey ve etkin çarpışma sayısı artar.</w:t>
      </w:r>
    </w:p>
    <w:p>
      <w:pPr>
        <w:jc w:val="both"/>
        <w:rPr>
          <w:rFonts w:ascii="Times New Roman" w:hAnsi="Times New Roman" w:cs="Times New Roman"/>
          <w:lang w:val="tr-TR"/>
        </w:rPr>
      </w:pPr>
      <w:r>
        <w:rPr>
          <w:rFonts w:ascii="Times New Roman" w:hAnsi="Times New Roman" w:cs="Times New Roman"/>
          <w:lang w:val="tr-TR"/>
        </w:rPr>
        <w:t xml:space="preserve">3. (10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10</w:t>
      </w:r>
      <w:r>
        <w:rPr>
          <w:rFonts w:ascii="Times New Roman" w:hAnsi="Times New Roman" w:cs="Times New Roman"/>
          <w:vertAlign w:val="superscript"/>
          <w:lang w:val="tr-TR"/>
        </w:rPr>
        <w:t xml:space="preserve">21</w:t>
      </w:r>
      <w:r>
        <w:rPr>
          <w:rFonts w:ascii="Times New Roman" w:hAnsi="Times New Roman" w:cs="Times New Roman"/>
          <w:lang w:val="tr-TR"/>
        </w:rPr>
        <w:t xml:space="preserve"> küp elde edilir. Toplam yüzey alanı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katına çıkar (6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6·10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Örnek: Ürünün gerçek bir ihtiyaca yönelik faydası, etiket/içerik bilgisinin açıklığı, kullanım ve atık aşamasındaki çevresel etkileri, sağlık güvenliği.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1-c, 2-ç, 3-b, 4-a</w:t>
      </w:r>
    </w:p>
    <w:p>
      <w:pPr>
        <w:jc w:val="both"/>
        <w:rPr>
          <w:rFonts w:ascii="Times New Roman" w:hAnsi="Times New Roman" w:cs="Times New Roman"/>
          <w:lang w:val="tr-TR"/>
        </w:rPr>
      </w:pPr>
      <w:r>
        <w:rPr>
          <w:rFonts w:ascii="Times New Roman" w:hAnsi="Times New Roman" w:cs="Times New Roman"/>
          <w:lang w:val="tr-TR"/>
        </w:rPr>
        <w:t xml:space="preserve">2. a) Evet; sentetik lifler (mikrofiberler) kopar, bunlar birincil mikroplastiktir. b) Hayır; cam plastik değildir. c) Evet; UV ve fiziksel etkilerle parçalanır. ç) Evet; lastik parçacıkları mikroplastik kaynağıdır.</w:t>
      </w:r>
    </w:p>
    <w:p>
      <w:pPr>
        <w:jc w:val="both"/>
        <w:rPr>
          <w:rFonts w:ascii="Times New Roman" w:hAnsi="Times New Roman" w:cs="Times New Roman"/>
          <w:lang w:val="tr-TR"/>
        </w:rPr>
      </w:pPr>
      <w:r>
        <w:rPr>
          <w:rFonts w:ascii="Times New Roman" w:hAnsi="Times New Roman" w:cs="Times New Roman"/>
          <w:lang w:val="tr-TR"/>
        </w:rPr>
        <w:t xml:space="preserve">3. Örnek şema: plastik atık → denizde parçalanma → plankton/küçük balık → büyük balık → insan.</w:t>
      </w:r>
    </w:p>
    <w:p>
      <w:pPr>
        <w:jc w:val="both"/>
        <w:rPr>
          <w:rFonts w:ascii="Times New Roman" w:hAnsi="Times New Roman" w:cs="Times New Roman"/>
          <w:lang w:val="tr-TR"/>
        </w:rPr>
      </w:pPr>
      <w:r>
        <w:rPr>
          <w:rFonts w:ascii="Times New Roman" w:hAnsi="Times New Roman" w:cs="Times New Roman"/>
          <w:lang w:val="tr-TR"/>
        </w:rPr>
        <w:t xml:space="preserve">4. Öğrenci özgün cevaplarını oluşturur (tek kullanımlık plastikleri azaltmak, geri dönüşüm, mikroboncuklu ürün kullanmamak vb.).</w:t>
      </w:r>
    </w:p>
    <w:p>
      <w:pPr>
        <w:jc w:val="both"/>
        <w:rPr>
          <w:rFonts w:ascii="Times New Roman" w:hAnsi="Times New Roman" w:cs="Times New Roman"/>
          <w:lang w:val="tr-TR"/>
        </w:rPr>
      </w:pPr>
      <w:r>
        <w:rPr>
          <w:rFonts w:ascii="Times New Roman" w:hAnsi="Times New Roman" w:cs="Times New Roman"/>
          <w:lang w:val="tr-TR"/>
        </w:rPr>
        <w:t xml:space="preserve">5. Balıkçıllar. Her basamaktaki canlı, bir alt basamaktan çok sayıda canlıyı besin olarak tükettiği ve plastik parçacıklar vücuttan kolayca atılmadığı için mikroplastikler besin zincirinin üst basamaklarına doğru birikir.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Bağımsız: evsel atık türü. Bağımlı: toplanan gaz miktarı/hacmi. Kontrol: atık kütlesi, su ve maya miktarı, sıcaklık, ışık koşulu, bekleme süresi, şişe hacmi.</w:t>
      </w:r>
    </w:p>
    <w:p>
      <w:pPr>
        <w:jc w:val="both"/>
      </w:pPr>
      <w:r>
        <w:rPr>
          <w:rFonts w:ascii="Times New Roman" w:hAnsi="Times New Roman" w:cs="Times New Roman"/>
          <w:b/>
          <w:sz w:val="24"/>
        </w:rPr>
        <w:t xml:space="preserve">2. </w:t>
      </w:r>
      <w:r>
        <w:rPr>
          <w:rFonts w:ascii="Times New Roman" w:hAnsi="Times New Roman" w:cs="Times New Roman"/>
          <w:lang w:val="tr-TR"/>
        </w:rPr>
        <w:t xml:space="preserve">Örnek: Evsel atık türü fermantasyonla elde edilen hidrojen miktarını nasıl etkiler? Hipotez: Karbonhidrat (nişasta, şeker) içeriği yüksek atıklardan daha fazla hidrojen elde edilir.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Ekmek nişasta bakımından zengindir; mikroorganizmaların fermantasyonla parçalayabileceği karbonhidrat miktarı fazla olduğu için daha fazla gaz oluşur.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Hayır. Maya kullanıldığında toplanan gazın büyük kısmı karbon dioksittir; hidrojen gazı esas olarak bazı bakterilerin karanlık fermantasyonu sonucunda oluşur.</w:t>
      </w:r>
    </w:p>
    <w:p>
      <w:pPr>
        <w:jc w:val="both"/>
      </w:pPr>
      <w:r>
        <w:rPr>
          <w:rFonts w:ascii="Times New Roman" w:hAnsi="Times New Roman" w:cs="Times New Roman"/>
          <w:b/>
          <w:sz w:val="24"/>
        </w:rPr>
        <w:t xml:space="preserve">5. </w:t>
      </w:r>
      <w:r>
        <w:rPr>
          <w:rFonts w:ascii="Times New Roman" w:hAnsi="Times New Roman" w:cs="Times New Roman"/>
          <w:lang w:val="tr-TR"/>
        </w:rPr>
        <w:t xml:space="preserve">C</w:t>
      </w:r>
    </w:p>
    <w:p>
      <w:pPr>
        <w:jc w:val="both"/>
      </w:pPr>
      <w:r>
        <w:rPr>
          <w:rFonts w:ascii="Times New Roman" w:hAnsi="Times New Roman" w:cs="Times New Roman"/>
          <w:b/>
          <w:sz w:val="24"/>
        </w:rPr>
        <w:t xml:space="preserve">6. </w:t>
      </w:r>
      <w:r>
        <w:rPr>
          <w:rFonts w:ascii="Times New Roman" w:hAnsi="Times New Roman" w:cs="Times New Roman"/>
          <w:lang w:val="tr-TR"/>
        </w:rPr>
        <w:t xml:space="preserve">360 g = 2 mol glikoz → 8 mol H₂ → 16 g H₂</w:t>
      </w:r>
    </w:p>
    <w:p>
      <w:pPr>
        <w:jc w:val="both"/>
      </w:pPr>
      <w:r>
        <w:rPr>
          <w:rFonts w:ascii="Times New Roman" w:hAnsi="Times New Roman" w:cs="Times New Roman"/>
          <w:b/>
          <w:sz w:val="24"/>
        </w:rPr>
        <w:t xml:space="preserve">7. </w:t>
      </w:r>
      <w:r>
        <w:rPr>
          <w:rFonts w:ascii="Times New Roman" w:hAnsi="Times New Roman" w:cs="Times New Roman"/>
          <w:lang w:val="tr-TR"/>
        </w:rPr>
        <w:t xml:space="preserve">Nanoparçacıkların toplam yüzey alanı çok büyüktür; bakterilerle temas eden yüzey ve etkileşim artar.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Yıkama suyuna geçen gümüş nanoparçacıklar atık sulara karışarak arıtma tesislerindeki faydalı bakterileri ve su canlılarını olumsuz etkileyebilir.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Öğrenci özgün cevabını oluşturur; fayda (koku ve bakteri azalması) ile olası zararlar (çevreye geçiş, uzun süreli etkilerin bilinmemesi) gerekçeli değerlendirilmelidir.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Güneşin morötesi ışınları, dalga ve rüzgârın aşındırması, sıcaklık değişimleri.</w:t>
      </w:r>
    </w:p>
    <w:p>
      <w:pPr>
        <w:jc w:val="both"/>
      </w:pPr>
      <w:r>
        <w:rPr>
          <w:rFonts w:ascii="Times New Roman" w:hAnsi="Times New Roman" w:cs="Times New Roman"/>
          <w:b/>
          <w:sz w:val="24"/>
        </w:rPr>
        <w:t xml:space="preserve">13. </w:t>
      </w:r>
      <w:r>
        <w:rPr>
          <w:rFonts w:ascii="Times New Roman" w:hAnsi="Times New Roman" w:cs="Times New Roman"/>
          <w:lang w:val="tr-TR"/>
        </w:rPr>
        <w:t xml:space="preserve">Su canlılarının yutması ile besin zinciri yoluyla, içme suyu ve gıdalarla, solunumla vücuda girebilir; yüzeylerinde zararlı kimyasallar taşıyabilir. Uzun süreli etkileri araştırılmaktadır.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E</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Öğrenci özgün cevabını oluşturur.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Sakkaroz kütlesi 855 g = 2,5 mol; 2,5·8 =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 40 g  b) 20·22,4 = 448 L  c) (134,4/448)·100 = %30</w:t>
      </w:r>
    </w:p>
    <w:p>
      <w:pPr>
        <w:jc w:val="both"/>
      </w:pPr>
      <w:r>
        <w:rPr>
          <w:rFonts w:ascii="Times New Roman" w:hAnsi="Times New Roman" w:cs="Times New Roman"/>
          <w:b/>
          <w:sz w:val="24"/>
        </w:rPr>
        <w:t xml:space="preserve">20. </w:t>
      </w:r>
      <w:r>
        <w:rPr>
          <w:rFonts w:ascii="Times New Roman" w:hAnsi="Times New Roman" w:cs="Times New Roman"/>
          <w:lang w:val="tr-TR"/>
        </w:rPr>
        <w:t xml:space="preserve">I-A, II-1</w:t>
      </w:r>
    </w:p>
    <w:p>
      <w:pPr>
        <w:jc w:val="both"/>
      </w:pPr>
      <w:r>
        <w:rPr>
          <w:rFonts w:ascii="Times New Roman" w:hAnsi="Times New Roman" w:cs="Times New Roman"/>
          <w:b/>
          <w:sz w:val="24"/>
        </w:rPr>
        <w:t xml:space="preserve">21. </w:t>
      </w:r>
      <w:r>
        <w:rPr>
          <w:rFonts w:ascii="Times New Roman" w:hAnsi="Times New Roman" w:cs="Times New Roman"/>
          <w:lang w:val="tr-TR"/>
        </w:rPr>
        <w:t xml:space="preserve">1-d, 2-b, 3-c, 4-a, 5-ç</w:t>
      </w:r>
    </w:p>
    <w:p>
      <w:pPr>
        <w:jc w:val="both"/>
      </w:pPr>
      <w:r>
        <w:rPr>
          <w:rFonts w:ascii="Times New Roman" w:hAnsi="Times New Roman" w:cs="Times New Roman"/>
          <w:b/>
          <w:sz w:val="24"/>
        </w:rPr>
        <w:t xml:space="preserve">22. </w:t>
      </w:r>
      <w:r>
        <w:rPr>
          <w:rFonts w:ascii="Times New Roman" w:hAnsi="Times New Roman" w:cs="Times New Roman"/>
          <w:lang w:val="tr-TR"/>
        </w:rPr>
        <w:t xml:space="preserve">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Toplam yüzey alanı A = n·4πr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n = V/(4/3·πr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olduğundan A = 3V/r. r = 10 nm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 A = 3·1,0/10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300 m</w:t>
      </w:r>
      <w:r>
        <w:rPr>
          <w:rFonts w:ascii="Times New Roman" w:hAnsi="Times New Roman" w:cs="Times New Roman"/>
          <w:vertAlign w:val="superscript"/>
          <w:lang w:val="tr-TR"/>
        </w:rPr>
        <w:t xml:space="preserve">2</w:t>
      </w:r>
      <w:r>
        <w:rPr>
          <w:rFonts w:ascii="Times New Roman" w:hAnsi="Times New Roman" w:cs="Times New Roman"/>
          <w:lang w:val="tr-TR"/>
        </w:rPr>
        <w:t xml:space="preserve">. Yüzey alanı tek küreye göre yaklaşık 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kat büyüktür. Tepkime yüzeyde gerçekleştiği için çok büyük yüzey alanı az miktarda maddeyle etkin bir kaplama sağlar.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Fayda: Havadaki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Örnek: Kaplama bir yılda ne kadar aşınır ve kopan parçacıklar nereye gider? Kaplamanın gerçek cadde koşullarında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 ne kadar azalttığı ölçülmüş müdür? Yağmur sularında ve yakındaki toprakta TiO</w:t>
      </w:r>
      <w:r>
        <w:rPr>
          <w:rFonts w:ascii="Times New Roman" w:hAnsi="Times New Roman" w:cs="Times New Roman"/>
          <w:vertAlign w:val="subscript"/>
          <w:lang w:val="tr-TR"/>
        </w:rPr>
        <w:t xml:space="preserve">2</w:t>
      </w:r>
      <w:r>
        <w:rPr>
          <w:rFonts w:ascii="Times New Roman" w:hAnsi="Times New Roman" w:cs="Times New Roman"/>
          <w:lang w:val="tr-TR"/>
        </w:rPr>
        <w:t xml:space="preserve"> nanoparçacıkları ile nitrat birikimi izlenecek midir? Uygulamanın maliyeti ve kullanım ömrü nedir?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27. </w:t>
      </w:r>
      <w:r>
        <w:rPr>
          <w:rFonts w:ascii="Times New Roman" w:hAnsi="Times New Roman" w:cs="Times New Roman"/>
          <w:lang w:val="tr-TR"/>
        </w:rPr>
        <w:t xml:space="preserve">En fazla C noktasındadır; en çok lif bulunur. Evlerden gelen çamaşır suları arıtma tesisine ulaşır ve sentetik giysilerden kopan liflerin bir kısmı arıtmada tutulamadan akarsuya karışır.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C (Havadaki lifler açık kaplara bulaşarak sonuçları yanıltır.)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p>
      <w:pPr>
        <w:jc w:val="both"/>
      </w:pPr>
      <w:r>
        <w:rPr>
          <w:rFonts w:ascii="Times New Roman" w:hAnsi="Times New Roman" w:cs="Times New Roman"/>
          <w:b/>
          <w:sz w:val="24"/>
        </w:rPr>
        <w:t xml:space="preserve">31. </w:t>
      </w:r>
      <w:r>
        <w:rPr>
          <w:rFonts w:ascii="Times New Roman" w:hAnsi="Times New Roman" w:cs="Times New Roman"/>
          <w:lang w:val="tr-TR"/>
        </w:rPr>
        <w:t xml:space="preserve">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toplam hacim, mikroorganizma karışımının miktarı ve ön işlemi, sıcaklık (35 °C), süre (3 gün), karanlık ve oksijensiz ortam, şişe türü.</w:t>
      </w:r>
    </w:p>
    <w:p>
      <w:pPr>
        <w:jc w:val="both"/>
      </w:pPr>
      <w:r>
        <w:rPr>
          <w:rFonts w:ascii="Times New Roman" w:hAnsi="Times New Roman" w:cs="Times New Roman"/>
          <w:b/>
          <w:sz w:val="24"/>
        </w:rPr>
        <w:t xml:space="preserve">32. </w:t>
      </w:r>
      <w:r>
        <w:rPr>
          <w:rFonts w:ascii="Times New Roman" w:hAnsi="Times New Roman" w:cs="Times New Roman"/>
          <w:lang w:val="tr-TR"/>
        </w:rPr>
        <w:t xml:space="preserve">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(Oluşan hidrojen ortamdan uzaklaştırıldığında hidrojen üretimi yavaşlamaz ve hidrojeni tüketen tepkimeler azalır.)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pPr>
      <w:r>
        <w:rPr>
          <w:rFonts w:ascii="Times New Roman" w:hAnsi="Times New Roman" w:cs="Times New Roman"/>
          <w:b/>
          <w:sz w:val="24"/>
        </w:rPr>
        <w:t xml:space="preserve">37. </w:t>
      </w:r>
      <w:r>
        <w:rPr>
          <w:rFonts w:ascii="Times New Roman" w:hAnsi="Times New Roman" w:cs="Times New Roman"/>
          <w:lang w:val="tr-TR"/>
        </w:rPr>
        <w:t xml:space="preserve">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pPr>
      <w:r>
        <w:rPr>
          <w:rFonts w:ascii="Times New Roman" w:hAnsi="Times New Roman" w:cs="Times New Roman"/>
          <w:b/>
          <w:sz w:val="24"/>
        </w:rPr>
        <w:t xml:space="preserve">39. </w:t>
      </w:r>
      <w:r>
        <w:rPr>
          <w:rFonts w:ascii="Times New Roman" w:hAnsi="Times New Roman" w:cs="Times New Roman"/>
          <w:lang w:val="tr-TR"/>
        </w:rPr>
        <w:t xml:space="preserve">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