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Alanya Damlataş Mağarası ya da benzeri bir mağarada tavandan sarkan sarkıtlar ve yerden yükselen dikitler; loş, sıcak ışık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2482334227 (fotoğraf) — Stalactite and stalagmite formations in the Dim Cave, Alanya</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pPr>
        <w:jc w:val="both"/>
        <w:rPr>
          <w:rFonts w:ascii="Times New Roman" w:hAnsi="Times New Roman" w:cs="Times New Roman"/>
          <w:lang w:val="tr-TR"/>
        </w:rPr>
      </w:pPr>
      <w:r>
        <w:rPr>
          <w:rFonts w:ascii="Times New Roman" w:hAnsi="Times New Roman" w:cs="Times New Roman"/>
          <w:lang w:val="tr-TR"/>
        </w:rPr>
        <w:t xml:space="preserve">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iki yönlü işleyen süreçlerle açıklanır. Sanayide sıcaklık ve basınç gibi koşullar ayarlanarak bu süreçler istenen yöne yönlendirilir ve daha fazla ürün elde edilir.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Ağarmış mercan resifi ve deniz kabukluları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Deneylere başlamadan önce gözleminizin amacını belirleyiniz ve tepkimenin hangi yönde ilerlediğini anlamak için hangi niteliklere bakacağınızı ölçüt olarak yazınız.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topladığınız verileri, tepkimenin ileri yönde ilerlediğini gösterenler ve geri yönde ilerlediğini gösterenler olarak sınıflandırınız. Hangi gözlemlenebilir nitelikler (renk değişimi, yeni bir katının oluşumu ya da kaybolması vb.) tepkimenin her iki yönde ilerlediğinin kanıtıdır?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görsellerde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bir kısmı, tepkenlerden biri tükenene kadar yalnızca ürünler yönünde ilerler. Örneğin bir kâğıt parçası yandığında oluşan karbon dioksit ve su buharı tekrar bir araya gelerek kâğıdı oluşturmaz. Yalnızca ileri yönde gerçekleşen, ürünlerin yeniden tepkenlere dönüşemediği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Bazı tepkimelerde ise oluşan ürünler de birbiriyle tepkimeye girerek yeniden tepkenleri oluşturabilir. Hem ürünler yönünde (ileri yönde) hem de tepkenler yönünde (geri yönde) gerçekleşebilen tepkimelere tersinir tepkimeler denir. Tersinir tepkimeler çift yönlü okla (⇌) gösterilir. Örneğin nem göstergesi olarak kullanılan mavi renkli susuz kobalt(II) klorür, nemli havada su buharını bağlayarak pembe renkli kobalt(II) klorür hekzahidrata dönüşür. Pembe katı ısıtıldığında ya da kuru bir ortamda bekletildiğinde suyunu kaybeder ve yeniden mavi renk gözlenir:</w:t>
      </w:r>
    </w:p>
    <w:p>
      <w:pPr>
        <w:jc w:val="center"/>
        <w:rPr>
          <w:rFonts w:ascii="Times New Roman" w:hAnsi="Times New Roman" w:cs="Times New Roman"/>
          <w:lang w:val="tr-TR"/>
        </w:rPr>
      </w:pPr>
      <w:r>
        <w:rPr>
          <w:rFonts w:ascii="Times New Roman" w:hAnsi="Times New Roman" w:cs="Times New Roman"/>
          <w:lang w:val="tr-TR"/>
        </w:rPr>
        <w:t xml:space="preserve">CoCl</w:t>
      </w:r>
      <w:r>
        <w:rPr>
          <w:rFonts w:ascii="Times New Roman" w:hAnsi="Times New Roman" w:cs="Times New Roman"/>
          <w:lang w:val="tr-TR"/>
          <w:vertAlign w:val="subscript"/>
        </w:rPr>
        <w:t xml:space="preserve">2</w:t>
      </w:r>
      <w:r>
        <w:rPr>
          <w:rFonts w:ascii="Times New Roman" w:hAnsi="Times New Roman" w:cs="Times New Roman"/>
          <w:lang w:val="tr-TR"/>
        </w:rPr>
        <w:t xml:space="preserve">(k) + 6H</w:t>
      </w:r>
      <w:r>
        <w:rPr>
          <w:rFonts w:ascii="Times New Roman" w:hAnsi="Times New Roman" w:cs="Times New Roman"/>
          <w:lang w:val="tr-TR"/>
          <w:vertAlign w:val="subscript"/>
        </w:rPr>
        <w:t xml:space="preserve">2</w:t>
      </w:r>
      <w:r>
        <w:rPr>
          <w:rFonts w:ascii="Times New Roman" w:hAnsi="Times New Roman" w:cs="Times New Roman"/>
          <w:lang w:val="tr-TR"/>
        </w:rPr>
        <w:t xml:space="preserve">O(g) ⇌ CoCl</w:t>
      </w:r>
      <w:r>
        <w:rPr>
          <w:rFonts w:ascii="Times New Roman" w:hAnsi="Times New Roman" w:cs="Times New Roman"/>
          <w:lang w:val="tr-TR"/>
          <w:vertAlign w:val="subscript"/>
        </w:rPr>
        <w:t xml:space="preserve">2</w:t>
      </w:r>
      <w:r>
        <w:rPr>
          <w:rFonts w:ascii="Times New Roman" w:hAnsi="Times New Roman" w:cs="Times New Roman"/>
          <w:lang w:val="tr-TR"/>
        </w:rPr>
        <w:t xml:space="preserve">·6H</w:t>
      </w:r>
      <w:r>
        <w:rPr>
          <w:rFonts w:ascii="Times New Roman" w:hAnsi="Times New Roman" w:cs="Times New Roman"/>
          <w:lang w:val="tr-TR"/>
          <w:vertAlign w:val="subscript"/>
        </w:rPr>
        <w:t xml:space="preserve">2</w:t>
      </w:r>
      <w:r>
        <w:rPr>
          <w:rFonts w:ascii="Times New Roman" w:hAnsi="Times New Roman" w:cs="Times New Roman"/>
          <w:lang w:val="tr-TR"/>
        </w:rPr>
        <w:t xml:space="preserve">O(k)          (mavi ⇌ pembe)</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 ve sıcaklıkta basınç değişimi, iyon sayısının değiştiği tepkimelerde elektrik iletkenliği değişimi, katı bir maddenin oluştuğu ya da harcandığı tepkimelerde ise katı kütlesindeki değişim de tepkimenin her iki yönde ilerlediğini gösterebilir. Örneğin sarı renkli kromat iyonları içeren bir çözeltiye asit eklendiğinde turuncu renkli dikromat iyonları oluşur ve çözelti turuncuya döner; aynı çözeltiye baz eklendiğinde ise yeniden sarı renk gözlenir. Asit ve baz eklendikçe rengin tekrar tekrar değişebilmesi, aşağıdaki tepkimenin her iki yönde de gerçekleşebildiğini gösterir:</w:t>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p>
    <w:p>
      <w:pPr>
        <w:jc w:val="center"/>
        <w:rPr>
          <w:rFonts w:ascii="Times New Roman" w:hAnsi="Times New Roman" w:cs="Times New Roman"/>
          <w:lang w:val="tr-TR"/>
        </w:rPr>
      </w:pPr>
      <w:r>
        <w:rPr>
          <w:rFonts w:ascii="Times New Roman" w:hAnsi="Times New Roman" w:cs="Times New Roman"/>
          <w:lang w:val="tr-TR"/>
        </w:rPr>
        <w:t xml:space="preserve">2CrO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Cr</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7</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(sarı ⇌ turuncu)</w:t>
      </w:r>
    </w:p>
    <w:p>
      <w:pPr>
        <w:jc w:val="both"/>
        <w:rPr>
          <w:rFonts w:ascii="Times New Roman" w:hAnsi="Times New Roman" w:cs="Times New Roman"/>
          <w:lang w:val="tr-TR"/>
        </w:rPr>
      </w:pPr>
      <w:r>
        <w:rPr>
          <w:rFonts w:ascii="Times New Roman" w:hAnsi="Times New Roman" w:cs="Times New Roman"/>
          <w:lang w:val="tr-TR"/>
        </w:rPr>
        <w:t xml:space="preserve">Tersinir tepkimeler makro (gözlemlenebilir), alt mikro (tanecik) ve sembolik (denklem) düzeyde ifade edilebilir. Kobalt(II) klorür örneğinde makro düzeyde maviden pembeye ve pembeden maviye renk değişimi gözlenir. Alt mikro düzeyde su moleküllerinin kobalt(II) klorürün yapısına bağlandığı ya da bu yapıdan ayrıldığı düşünülür. Sembolik düzeyde ise bu değişim çift yönlü okla yazılan denklemle gösterilir.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Kapalı bir cam tüpün dibinde ısıtılan amonyum klorürün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gaz hâline geçerek kaybolması ve tüpün soğuk üst kısmında yeniden beyaz bir katı oluşması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Tüpün sıcak kısmında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ayrışarak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HCl gazlarını oluşturur; soğuk kısımda ise bu gazlar birleşerek yeniden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katısını oluşturur. Tepkime tersinirdir. İleri tepkime: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 →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geri tepkime: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Fotokromik (güneşte kararan) gözlük camının güneş ışığında koyulaşması, gölgede yeniden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Demirin nemli havada paslanması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