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C).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150400"/>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150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352000"/>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35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değerleri de aynı tür tablolardan alınmıştır; özellikle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kaynaklarda farklı değerler verildiğinden yayın öncesi kontrol edilmelidir.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X</w:t>
      </w:r>
      <w:r>
        <w:rPr>
          <w:rFonts w:ascii="Times New Roman" w:hAnsi="Times New Roman" w:cs="Times New Roman"/>
          <w:lang w:val="tr-TR"/>
          <w:vertAlign w:val="subscript"/>
        </w:rPr>
        <w:t xml:space="preserve">2</w:t>
      </w:r>
      <w:r>
        <w:rPr>
          <w:rFonts w:ascii="Times New Roman" w:hAnsi="Times New Roman" w:cs="Times New Roman"/>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