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lang w:val="tr-TR"/>
        </w:rPr>
        <w:t xml:space="preserve">NOT: Grafikteki değerler genel kimya kaynaklarındaki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verilerinden hesaplanmıştır (saf suda pH = −½·log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