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C387" w14:textId="326FEF89" w:rsidR="00C21264" w:rsidRPr="00C21264" w:rsidRDefault="00D969D3" w:rsidP="001B096C">
      <w:pPr>
        <w:jc w:val="both"/>
        <w:rPr>
          <w:rFonts w:ascii="Times New Roman" w:hAnsi="Times New Roman" w:cs="Times New Roman"/>
          <w:b/>
          <w:bCs/>
          <w:lang w:val="tr-TR"/>
        </w:rPr>
      </w:pPr>
      <w:r>
        <w:rPr>
          <w:rFonts w:ascii="Times New Roman" w:hAnsi="Times New Roman" w:cs="Times New Roman"/>
          <w:b/>
          <w:bCs/>
          <w:lang w:val="tr-TR"/>
        </w:rPr>
        <w:t>Farklılaştırma</w:t>
      </w:r>
    </w:p>
    <w:p w14:paraId="26CF931F" w14:textId="77777777" w:rsidR="00C21264" w:rsidRDefault="00C21264" w:rsidP="001B096C">
      <w:pPr>
        <w:jc w:val="both"/>
        <w:rPr>
          <w:rFonts w:ascii="Times New Roman" w:hAnsi="Times New Roman" w:cs="Times New Roman"/>
          <w:lang w:val="tr-TR"/>
        </w:rPr>
      </w:pPr>
    </w:p>
    <w:tbl>
      <w:tblPr>
        <w:tblStyle w:val="TableGrid"/>
        <w:tblW w:w="0" w:type="auto"/>
        <w:tblLook w:val="04A0" w:firstRow="1" w:lastRow="0" w:firstColumn="1" w:lastColumn="0" w:noHBand="0" w:noVBand="1"/>
      </w:tblPr>
      <w:tblGrid>
        <w:gridCol w:w="1052"/>
        <w:gridCol w:w="1710"/>
        <w:gridCol w:w="4838"/>
        <w:gridCol w:w="1750"/>
      </w:tblGrid>
      <w:tr w:rsidR="00C21264" w14:paraId="13C428E5" w14:textId="77777777" w:rsidTr="0027506E">
        <w:tc>
          <w:tcPr>
            <w:tcW w:w="1052" w:type="dxa"/>
          </w:tcPr>
          <w:p w14:paraId="3917A3B5" w14:textId="279DD209"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Ünite</w:t>
            </w:r>
          </w:p>
        </w:tc>
        <w:tc>
          <w:tcPr>
            <w:tcW w:w="1710" w:type="dxa"/>
          </w:tcPr>
          <w:p w14:paraId="5AF02E7E" w14:textId="53B6BCCF" w:rsidR="00C21264" w:rsidRPr="00C21264" w:rsidRDefault="00D969D3" w:rsidP="001B096C">
            <w:pPr>
              <w:jc w:val="both"/>
              <w:rPr>
                <w:rFonts w:ascii="Times New Roman" w:hAnsi="Times New Roman" w:cs="Times New Roman"/>
                <w:b/>
                <w:bCs/>
                <w:lang w:val="tr-TR"/>
              </w:rPr>
            </w:pPr>
            <w:r>
              <w:rPr>
                <w:rFonts w:ascii="Times New Roman" w:hAnsi="Times New Roman" w:cs="Times New Roman"/>
                <w:b/>
                <w:bCs/>
                <w:lang w:val="tr-TR"/>
              </w:rPr>
              <w:t>Farklılaştırma</w:t>
            </w:r>
          </w:p>
        </w:tc>
        <w:tc>
          <w:tcPr>
            <w:tcW w:w="4838" w:type="dxa"/>
          </w:tcPr>
          <w:p w14:paraId="4B348C83" w14:textId="0D474DEC"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MEB Açıklama</w:t>
            </w:r>
          </w:p>
        </w:tc>
        <w:tc>
          <w:tcPr>
            <w:tcW w:w="1750" w:type="dxa"/>
          </w:tcPr>
          <w:p w14:paraId="39FF5748" w14:textId="49750142" w:rsidR="00C21264" w:rsidRPr="00C21264" w:rsidRDefault="00706CE1" w:rsidP="001B096C">
            <w:pPr>
              <w:jc w:val="both"/>
              <w:rPr>
                <w:rFonts w:ascii="Times New Roman" w:hAnsi="Times New Roman" w:cs="Times New Roman"/>
                <w:b/>
                <w:bCs/>
                <w:lang w:val="tr-TR"/>
              </w:rPr>
            </w:pPr>
            <w:r>
              <w:rPr>
                <w:rFonts w:ascii="Times New Roman" w:hAnsi="Times New Roman" w:cs="Times New Roman"/>
                <w:b/>
                <w:bCs/>
                <w:lang w:val="tr-TR"/>
              </w:rPr>
              <w:t>Açıklama</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İlaç kapsüllerinin kimyasal yapısı, sindirim sisteminde çözünme süreci, çözünme hızı, çözünme sırasındaki enerji değişimi ve etki mekanizmasına yönelik proje görevleri verilebilir. ... Ebu Bekir Razi’nin ilaçlar üzerine yaptığı çalışmalar konusunda araştırma görevi verilebilir.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Kim11.1.7, Bilgi Köşesi 1.1.’de ilaç kapsüllerinin çözünme hızı ve Ebu Bekir Razi araştırma önerisi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 evsel atıkların kimyasal ve fiziksel değişim süreçlerinin toplum sağlığına etkilerini belirlemek amacıyla evsel atık örnekleri üzerinde deneyler yapabilir ... kamu spotu oluşturmaları istenebilir.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Henüz konulmadı. Kim11.1.1 sonuna ya da 3. Tema (Sürdürülebilirlik) evsel atık konusuna eklenebilir.</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Paslanma tepkimesindeki enerji değişiminin, paslanmanın önlenmesi için alınabilecek tedbirlerin, inhibitörlerin ve paslanma önleyici sıvıların tepkime hızına etki mekanizmasının inceleneceği projeler yaptırılabilir ...</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Kim11.1.7’de inhibitör tanımı ve pas önleyici örneği verildi. Proje önerisi olarak ayrıca eklenebilir.</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Hazır gıdaların içeriği ve kullanılan koruyucu maddelerin gıdanın bozunma hızına etkisinin inceleneceği proje görevleri verilebilir ... atom ekonomisi ... endüstriyel süreçlerin maliyetleri hesaplatılabilir.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Kim11.1.7’de koruyucu maddeler inhibitör örneği olarak geçti; Sıra Sizde 1.7.’de soru olarak kullanıldı.</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Endotermik ve ekzotermik tepkimelerin anlaşılmasını kolaylaştırmak için gösteri deneyleri yapılabilir ... Tepkime hızına etki eden faktörlere yönelik bilimsel sorgulama yaptırmak yerine deney yapma becerisi kullanılabilir. Öğrenciler ... kendilerine verilen yönergeyi kullanarak deneyleri yapabilir.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Kim11.1.7, Analiz ve Keşif Atölyesi 1.7.’de her faktör için yönergeli “Deney önerileri” kutusu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Haber-Bosch yöntemi ile endüstriyel amonyak üretimi örnek verilip tepkimenin neden düşük sıcaklık ve yüksek basınç altında gerçekleştirildiğinin sorgulanması ... demir katalizörün etkisinin sorgulanması ... sürdürülebilir yeşil bir yönteme nasıl dönüştürülebileceği konusunda araştırma projesi tasarlatılabilir.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Kim11.2.5’te Bilgi Köşesi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 sürdürülebilir kalkınma hedefleri çerçevesinde enerji üretiminde reaksiyonların denge durumunun enerji verimliliği üzerindeki etkilerini araştırabilir.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Kim11.2.5’te Haber-Bosch Bilgi Köşesi’nin sonuna araştırma önerisi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Bir kimyasal tepkimenin tersinir doğasını açığa çıkarmak amacıyla renk değişikliği sergileyen tepkimelerin incelenmesi gibi etkinlikler planlanabilir.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Kim11.2.1, Analiz ve Keşif Atölyesi 2.1.’de çay ve CuSO_{4}·5H_{2}O deneyleriyle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Dengeyi etkileyen faktörler ... için çevrim içi simülasyon araçlarından faydalanılabilir. ... Örneğin bir soda şişesinin nasıl bir denge sistemini temsil ettiğini analiz edebilirler.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Kim11.2.5’te soda şişesi örneği ve sanal laboratuvar karekodu konuldu; bölüm girişinde de soda şişesi kullanıldı.</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Öğrencilerin Arrhenius ve Brønsted-Lowry asit-baz tanımlarını kapsamlı bir şekilde öğrenmeleri için asit ve baz örneklerinin bu iki farklı tanım çerçevesinde eşleştirilmesine dayanan bir kart oyunu tasarlanabilir.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Kim11.2.7, Sıra Sizde 2.7.’nin 1. sorusu olarak kart oyunu etkinliği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Buzulların erimesi sonucunda denizlerdeki tuzluluk oranının değişmesinin deniz canlıları, kıyı ekosistemi, su kalitesi ve okyanus dolaşımı üzerindeki etkilerini araştırabileceği bir proje görevi verilebilir ...</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Kim11.2.14’te Performans Görevi 2.2. (proje görevi)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Okyanuslarda ve büyük göllerde oluşan oksijen düzeyi düşük (hipoksik) ölü bölgelerin tespiti ... kimyasal gübrelerdeki azot ve fosfor içeren tuzların sudaki çözünürlük dengelerini etkileyen faktörler ... kalsiyum karbonatın toprağın asitliğini düzenlemede kullanılması ...</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Kim11.2.14’te Performans Görevi 2.2. (proje görevi) içinde (gübre tuzlarının çözünürlüğü, CaCO_{3} ile toprak pH’ı)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Dengeyi etkileyen faktörler hakkında derinlemesine anlayış geliştirmek için çevrim içi simülasyon araçlarından faydalanılabilir. ... bir soda şişesinin nasıl bir denge sistemini temsil ettiğini analiz edebilirler.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Kim11.2.5 karekod (sanal laboratuvar) ve Kim11.2.2/2.5 tartışmalarında soda şişesi örneği olarak kullanılabilir; ilgili dosyada kontrol edilmeli.</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Arrhenius ve Brønsted-Lowry asit-baz tanımlarını öğrenmeleri için asit ve baz örneklerinin bu iki tanım çerçevesinde eşleştirilmesine dayanan bir kart oyunu tasarlanabilir.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Kim11.2.7’de etkinlik/e-içerik olarak kullanılabilir; ilgili dosyada kontrol edilmeli.</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Çeşitli tuzların suda çözünürlüklerini test etme fırsatı sunularak sıcaklık ve basınç gibi değişken koşullar altında çözünürlüğün nasıl değişebileceği gözlemlenebilir. Tuzların çözünürlüğünü etkileyen faktörlerin incelenmesi amacıyla bilgi yarışmaları veya grup projeleri düzenlenebilir.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Kim11.2.14, Analiz ve Keşif Atölyesi 2.14.’te yönergeli “Gözlem ortamı önerileri” kutusu (kireç suyu, ortak iyon, PbI_2 videosu) ve Performans Görevi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Çevrim içi simülasyon araçlarının kullanımı, öğrencilerin çözünürlük dengesi kavramını ve bir çözeltinin doymuş, doymamış veya aşırı doymuş olmasının ne anlama geldiğini somut bir şekilde anlamalarına yardımcı olabilir.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Kim11.2.13’te animasyon karekodu ve doymuş/doymamış/aşırı doymuş çözelti açıklaması konuldu; Kim11.2.14 sanal laboratuvar karekodu.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Öğrencilere hidrojen eldesinde kullanılan renk kodu terminolojisi (gri, turkuaz, mavi ve yeşil hidrojen) hakkında araştırma görevi verilebilir ... biyogaz ile yeşil hidrojenin enerji kaynağı olma bakımından karşılaştırılmasına ilişkin araştırma projesi verilebilir.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Kim11.3.1’de Bilgi Köşesi olarak (renk kodları + biyogaz karşılaştırma araştırma önerisi)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Arama kurtarma çalışmalarına destek sağlamak için tasarlanan giyilebilir teknolojiler, güneş enerjisi ile çalışan konum belirleme cihazları ... nanoteknoloji ile güneş enerjisi dönüşüm verimliliğini artırma proje görevleri.</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Kim11.3.2’de Bilgi Köşesi’nde proje önerisi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Nanoteknolojik malzemelerin sürdürülebilirliği ve çevreye etkileri ile ilgili araştırma görevi, çevre etki analizi, anket geliştirme ve sonuçların bilim sergilerinde sunulması.</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Kim11.3.2’de Bilgi Köşesi’nde proje önerisi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Plastik içerikli maskelerin kullanılmasının insan sağlığına etkilerini araştırma; bilinçli maske kullanımı için kamu spotu, broşür, sunum.</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Kim11.3.3 Analiz ve Keşif Atölyesi 3.3.’ün çıkış noktası olarak kullanıldı (maske örneği).</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Market fişleri, banka sıra kâğıtları, faturalar gibi termal kâğıtlarda bulunan bisfenol A (BPA) hakkında toplumsal farkındalık projesi; el ilanı, kamu spotu.</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Kim11.3.3’te Bilgi Köşesi olarak (BPA + el ilanı önerisi)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Nanoteknolojik ürünlerin çevreye olumsuz etkilerini içeren belgeseller izletilebilir ... broşür, poster, sunum veya kamu spotu hazırlanabilir.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Kim11.3.2’de Bilgi Köşesi’nde belgesel önerisi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Plastik su mataraları, plastik bardaklar ve termal kâğıtlarda kullanılan serbest BPA’nın insan sağlığına etkilerini içeren belgeseller izletilebilir ...</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Kim11.3.3 Bilgi Köşesi (BPA) ile ilişkilendirildi; belgesel önerisi eklenebilir.</w:t>
            </w:r>
          </w:p>
        </w:tc>
      </w:tr>
    </w:tbl>
    <w:p w14:paraId="6BBC482A" w14:textId="77777777" w:rsidR="00C21264" w:rsidRPr="00C21264" w:rsidRDefault="00C21264" w:rsidP="001B096C">
      <w:pPr>
        <w:jc w:val="both"/>
        <w:rPr>
          <w:rFonts w:ascii="Times New Roman" w:hAnsi="Times New Roman" w:cs="Times New Roman"/>
          <w:lang w:val="tr-TR"/>
        </w:rPr>
      </w:pPr>
    </w:p>
    <w:sectPr w:rsidR="00C21264" w:rsidRPr="00C212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5812E1"/>
    <w:multiLevelType w:val="hybridMultilevel"/>
    <w:tmpl w:val="21843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503221">
    <w:abstractNumId w:val="1"/>
  </w:num>
  <w:num w:numId="2" w16cid:durableId="1930307597">
    <w:abstractNumId w:val="0"/>
  </w:num>
  <w:num w:numId="3" w16cid:durableId="1952860398">
    <w:abstractNumId w:val="3"/>
  </w:num>
  <w:num w:numId="4" w16cid:durableId="833104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22B81"/>
    <w:rsid w:val="0005220E"/>
    <w:rsid w:val="000537DF"/>
    <w:rsid w:val="00090109"/>
    <w:rsid w:val="0009630D"/>
    <w:rsid w:val="000B0E4C"/>
    <w:rsid w:val="00103A6E"/>
    <w:rsid w:val="00104EE1"/>
    <w:rsid w:val="001959BD"/>
    <w:rsid w:val="001B096C"/>
    <w:rsid w:val="001B1E9C"/>
    <w:rsid w:val="00221DB9"/>
    <w:rsid w:val="002357E2"/>
    <w:rsid w:val="00241A7C"/>
    <w:rsid w:val="00246A0F"/>
    <w:rsid w:val="00267D7B"/>
    <w:rsid w:val="00270267"/>
    <w:rsid w:val="0027506E"/>
    <w:rsid w:val="002874AF"/>
    <w:rsid w:val="002E67B2"/>
    <w:rsid w:val="00301B27"/>
    <w:rsid w:val="00314828"/>
    <w:rsid w:val="00332EE4"/>
    <w:rsid w:val="00340714"/>
    <w:rsid w:val="00350084"/>
    <w:rsid w:val="003766E3"/>
    <w:rsid w:val="003937EB"/>
    <w:rsid w:val="003B0F26"/>
    <w:rsid w:val="00413802"/>
    <w:rsid w:val="00456922"/>
    <w:rsid w:val="004B0449"/>
    <w:rsid w:val="004B5F62"/>
    <w:rsid w:val="004D19B8"/>
    <w:rsid w:val="004D7036"/>
    <w:rsid w:val="00501789"/>
    <w:rsid w:val="00541C3E"/>
    <w:rsid w:val="00566788"/>
    <w:rsid w:val="00594B38"/>
    <w:rsid w:val="005A0226"/>
    <w:rsid w:val="005B71E8"/>
    <w:rsid w:val="005E23E7"/>
    <w:rsid w:val="00606EF3"/>
    <w:rsid w:val="00607D0A"/>
    <w:rsid w:val="00630716"/>
    <w:rsid w:val="0069009E"/>
    <w:rsid w:val="006C7A5B"/>
    <w:rsid w:val="006D719E"/>
    <w:rsid w:val="00706CE1"/>
    <w:rsid w:val="0072074A"/>
    <w:rsid w:val="00727E71"/>
    <w:rsid w:val="007D5BFD"/>
    <w:rsid w:val="007E5684"/>
    <w:rsid w:val="0081604F"/>
    <w:rsid w:val="00852C5F"/>
    <w:rsid w:val="0089531F"/>
    <w:rsid w:val="009578C9"/>
    <w:rsid w:val="00967E55"/>
    <w:rsid w:val="00976E28"/>
    <w:rsid w:val="009B2523"/>
    <w:rsid w:val="00A07605"/>
    <w:rsid w:val="00A577F2"/>
    <w:rsid w:val="00A97A0C"/>
    <w:rsid w:val="00AD6C4C"/>
    <w:rsid w:val="00AF32A2"/>
    <w:rsid w:val="00B74187"/>
    <w:rsid w:val="00B7758F"/>
    <w:rsid w:val="00B868EE"/>
    <w:rsid w:val="00BA70CD"/>
    <w:rsid w:val="00BB6D8C"/>
    <w:rsid w:val="00C00E7B"/>
    <w:rsid w:val="00C169C1"/>
    <w:rsid w:val="00C21264"/>
    <w:rsid w:val="00C317FD"/>
    <w:rsid w:val="00C721D9"/>
    <w:rsid w:val="00C731CC"/>
    <w:rsid w:val="00C86C38"/>
    <w:rsid w:val="00CA50AC"/>
    <w:rsid w:val="00CE39D3"/>
    <w:rsid w:val="00D026A9"/>
    <w:rsid w:val="00D969D3"/>
    <w:rsid w:val="00DA3EEF"/>
    <w:rsid w:val="00DD035C"/>
    <w:rsid w:val="00E17158"/>
    <w:rsid w:val="00EE04AD"/>
    <w:rsid w:val="00F0535C"/>
    <w:rsid w:val="00F557A7"/>
    <w:rsid w:val="00F81B95"/>
    <w:rsid w:val="00FB0FAA"/>
    <w:rsid w:val="00FF167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97</cp:revision>
  <dcterms:created xsi:type="dcterms:W3CDTF">2025-02-25T12:13:00Z</dcterms:created>
  <dcterms:modified xsi:type="dcterms:W3CDTF">2025-05-26T09:28:00Z</dcterms:modified>
</cp:coreProperties>
</file>