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2.2.5. Kuvvetli Asit ve Kuvvetli Bazların Nötralleşme Tepkimeleri</w:t>
      </w:r>
    </w:p>
    <w:p>
      <w:pPr>
        <w:jc w:val="both"/>
        <w:rPr>
          <w:rFonts w:ascii="Times New Roman" w:hAnsi="Times New Roman" w:cs="Times New Roman"/>
          <w:lang w:val="tr-TR"/>
        </w:rPr>
      </w:pPr>
      <w:r>
        <w:rPr>
          <w:rFonts w:ascii="Times New Roman" w:hAnsi="Times New Roman" w:cs="Times New Roman"/>
          <w:lang w:val="tr-TR"/>
        </w:rPr>
        <w:t xml:space="preserve">Mide ekşimesi yaşayan bir kişiye doktoru mide asidini etkisiz hâle getiren bir ilaç (antasit) önerebilir (Görsel A). Asitli topraklarda verimin düşmesi nedeniyle çiftçiler tarlalarına kireç serper (Görsel B). Yüzme havuzlarında ise suyun pH değeri asidik ya da bazik maddeler eklenerek ayarlanır. Bu örneklerin hepsinde bir asidin etkisi bir bazla, bir bazın etkisi ise bir asitle giderilmeye çalışılır. Asit ve baz çözeltileri karıştırıldığında ne olur? Bu olayın gerçekleştiğini hangi gözlemlerle anlayabiliriz? Bu soruların cevabını Analiz ve Keşif Atölyesi 2.10.’daki etkinliği yaparak keşfediniz. Etkinlikte asit ile bazın tepkimesini izleyebileceğiniz ölçütleri kendiniz belirleyecek, bu ölçütleri deneyle sınayacak ve topladığınız verilerden yola çıkarak nötralleşme olayını ölçülebilir niteliklerle, yani operasyonel olarak tanımlayacaksınız. Deneyi planlı ve özenli bir şekilde yürütürken çalışkanlığınızı ortaya koyacak, süreç sonunda kendinizi değerlendirerek öz yansıtma becerinizi geliştireceksiniz.</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pPr>
              <w:jc w:val="center"/>
            </w:pPr>
            <w:r>
              <w:drawing>
                <wp:inline xmlns:a="http://schemas.openxmlformats.org/drawingml/2006/main" xmlns:pic="http://schemas.openxmlformats.org/drawingml/2006/picture">
                  <wp:extent cx="1301850" cy="1980000"/>
                  <wp:docPr id="900012" name="Picture 900012"/>
                  <wp:cNvGraphicFramePr>
                    <a:graphicFrameLocks noChangeAspect="1"/>
                  </wp:cNvGraphicFramePr>
                  <a:graphic>
                    <a:graphicData uri="http://schemas.openxmlformats.org/drawingml/2006/picture">
                      <pic:pic>
                        <pic:nvPicPr>
                          <pic:cNvPr id="0" name="188016662_d.jpg"/>
                          <pic:cNvPicPr/>
                        </pic:nvPicPr>
                        <pic:blipFill>
                          <a:blip r:embed="rId11"/>
                          <a:stretch>
                            <a:fillRect/>
                          </a:stretch>
                        </pic:blipFill>
                        <pic:spPr>
                          <a:xfrm>
                            <a:off x="0" y="0"/>
                            <a:ext cx="1301850" cy="1980000"/>
                          </a:xfrm>
                          <a:prstGeom prst="rect"/>
                        </pic:spPr>
                      </pic:pic>
                    </a:graphicData>
                  </a:graphic>
                </wp:inline>
              </w:drawing>
            </w:r>
          </w:p>
          <w:p>
            <w:pPr>
              <w:jc w:val="center"/>
            </w:pPr>
            <w:r>
              <w:rPr>
                <w:rFonts w:ascii="Times New Roman" w:hAnsi="Times New Roman" w:cs="Times New Roman"/>
                <w:b/>
                <w:bCs/>
                <w:highlight w:val="yellow"/>
                <w:lang w:val="tr-TR"/>
              </w:rPr>
              <w:t xml:space="preserve">Shutter id: 188016662</w:t>
            </w: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Mide rahatsızlığında kullanılan antasit tabletler</w:t>
            </w:r>
          </w:p>
        </w:tc>
        <w:tc>
          <w:tcPr>
            <w:tcW w:w="4500" w:type="dxa"/>
          </w:tcPr>
          <w:tbl>
            <w:tblPr>
              <w:tblW w:w="4300" w:type="dxa"/>
              <w:jc w:val="center"/>
              <w:tblBorders>
                <w:top w:val="single" w:sz="8" w:space="0" w:color="7F7F7F"/>
                <w:left w:val="single" w:sz="8" w:space="0" w:color="7F7F7F"/>
                <w:bottom w:val="single" w:sz="8" w:space="0" w:color="7F7F7F"/>
                <w:right w:val="single" w:sz="8" w:space="0" w:color="7F7F7F"/>
              </w:tblBorders>
            </w:tblPr>
            <w:tblGrid>
              <w:gridCol w:w="4300"/>
            </w:tblGrid>
            <w:tr>
              <w:tc>
                <w:tcPr>
                  <w:tcW w:w="43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Tarlaya ya da bahçe toprağına beyaz toz hâlinde tarım kireci serpen eller veya traktör.</w:t>
                  </w:r>
                </w:p>
                <w:p>
                  <w:pPr>
                    <w:jc w:val="both"/>
                    <w:rPr>
                      <w:rFonts w:ascii="Times New Roman" w:hAnsi="Times New Roman" w:cs="Times New Roman"/>
                      <w:lang w:val="tr-TR"/>
                    </w:rPr>
                  </w:pPr>
                  <w:r>
                    <w:rPr>
                      <w:rFonts w:ascii="Times New Roman" w:hAnsi="Times New Roman" w:cs="Times New Roman"/>
                      <w:lang w:val="tr-TR"/>
                    </w:rPr>
                    <w:t xml:space="preserve">Shutter ID: 2565145733 (fotoğraf) — Hand holding dolomite lime spread over soil</w:t>
                  </w:r>
                </w:p>
              </w:tc>
            </w:tr>
          </w:tbl>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Asitli toprağa kireç serpilmesi</w:t>
            </w:r>
          </w:p>
        </w:tc>
      </w:tr>
    </w:tbl>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2.10.</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KOROZİF (AŞINDIRICI) MADDE, KIRILABİLİR CAM UYARISI.</w:t>
      </w:r>
    </w:p>
    <w:p>
      <w:pPr>
        <w:jc w:val="both"/>
        <w:rPr>
          <w:rFonts w:ascii="Times New Roman" w:hAnsi="Times New Roman" w:cs="Times New Roman"/>
          <w:lang w:val="tr-TR"/>
        </w:rPr>
      </w:pPr>
      <w:r>
        <w:rPr>
          <w:rFonts w:ascii="Times New Roman" w:hAnsi="Times New Roman" w:cs="Times New Roman"/>
          <w:b/>
          <w:bCs/>
          <w:lang w:val="tr-TR"/>
        </w:rPr>
        <w:t xml:space="preserve">1. Aşama: Ölçütlerin Belirlenmesi</w:t>
      </w:r>
    </w:p>
    <w:p>
      <w:pPr>
        <w:jc w:val="both"/>
        <w:rPr>
          <w:rFonts w:ascii="Times New Roman" w:hAnsi="Times New Roman" w:cs="Times New Roman"/>
          <w:lang w:val="tr-TR"/>
        </w:rPr>
      </w:pPr>
      <w:r>
        <w:rPr>
          <w:rFonts w:ascii="Times New Roman" w:hAnsi="Times New Roman" w:cs="Times New Roman"/>
          <w:lang w:val="tr-TR"/>
        </w:rPr>
        <w:t xml:space="preserve">Hidroklorik asit (HCl) ve sodyum hidroksit (NaOH) çözeltileri karıştırıldığında gerçekleşen değişimi gözlemleyebilmek için hangi ölçütleri kullanabileceğinizi düşününüz. Ölçütlerinizi belirlerken çözeltide gözle fark edilebilecek değişimleri, tanecik düzeyinde neler olabileceğini ve bu değişimin sembolik gösterimini birlikte düşününüz. Ölçütlerinizi belirlemek için ders kitabınızdan ve güvenilir bilimsel kaynaklardan araştırma yapınız; farklı kaynaklardan edindiğiniz bilgileri karşılaştırarak seçtiğiniz ölçütleri gerekçelendiriniz. Aşağıdaki tabloda her ölçüt için kullanacağınız ölçüm aracını ya da yöntemi ve nasıl bir değişim beklediğinizi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2600"/>
        <w:gridCol w:w="4000"/>
      </w:tblGrid>
      <w:tr>
        <w:tc>
          <w:tcPr>
            <w:tcW w:w="2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Ölçüt</w:t>
            </w:r>
          </w:p>
        </w:tc>
        <w:tc>
          <w:tcPr>
            <w:tcW w:w="2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Ölçüm aracı / yöntem</w:t>
            </w:r>
          </w:p>
        </w:tc>
        <w:tc>
          <w:tcPr>
            <w:tcW w:w="4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Asit çözeltisine baz eklendikçe beklediğiniz değişim</w:t>
            </w:r>
          </w:p>
        </w:tc>
      </w:tr>
      <w:tr>
        <w:trPr>
          <w:trHeight w:val="700"/>
        </w:trP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Elektriksel iletkenlik</w:t>
            </w:r>
          </w:p>
        </w:tc>
        <w:tc>
          <w:tcPr>
            <w:tcW w:w="2600" w:type="dxa"/>
            <w:vAlign w:val="center"/>
          </w:tcPr>
          <w:p>
            <w:pPr>
              <w:jc w:val="left"/>
              <w:rPr>
                <w:rFonts w:ascii="Times New Roman" w:hAnsi="Times New Roman" w:cs="Times New Roman"/>
                <w:lang w:val="tr-TR"/>
              </w:rPr>
            </w:pPr>
          </w:p>
        </w:tc>
        <w:tc>
          <w:tcPr>
            <w:tcW w:w="4000" w:type="dxa"/>
            <w:vAlign w:val="center"/>
          </w:tcPr>
          <w:p>
            <w:pPr>
              <w:jc w:val="left"/>
              <w:rPr>
                <w:rFonts w:ascii="Times New Roman" w:hAnsi="Times New Roman" w:cs="Times New Roman"/>
                <w:lang w:val="tr-TR"/>
              </w:rPr>
            </w:pPr>
          </w:p>
        </w:tc>
      </w:tr>
      <w:tr>
        <w:trPr>
          <w:trHeight w:val="700"/>
        </w:trP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pH</w:t>
            </w:r>
          </w:p>
        </w:tc>
        <w:tc>
          <w:tcPr>
            <w:tcW w:w="2600" w:type="dxa"/>
            <w:vAlign w:val="center"/>
          </w:tcPr>
          <w:p>
            <w:pPr>
              <w:jc w:val="left"/>
              <w:rPr>
                <w:rFonts w:ascii="Times New Roman" w:hAnsi="Times New Roman" w:cs="Times New Roman"/>
                <w:lang w:val="tr-TR"/>
              </w:rPr>
            </w:pPr>
          </w:p>
        </w:tc>
        <w:tc>
          <w:tcPr>
            <w:tcW w:w="4000" w:type="dxa"/>
            <w:vAlign w:val="center"/>
          </w:tcPr>
          <w:p>
            <w:pPr>
              <w:jc w:val="left"/>
              <w:rPr>
                <w:rFonts w:ascii="Times New Roman" w:hAnsi="Times New Roman" w:cs="Times New Roman"/>
                <w:lang w:val="tr-TR"/>
              </w:rPr>
            </w:pPr>
          </w:p>
        </w:tc>
      </w:tr>
      <w:tr>
        <w:trPr>
          <w:trHeight w:val="700"/>
        </w:trP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İndikatörün renk değişimi</w:t>
            </w:r>
          </w:p>
        </w:tc>
        <w:tc>
          <w:tcPr>
            <w:tcW w:w="2600" w:type="dxa"/>
            <w:vAlign w:val="center"/>
          </w:tcPr>
          <w:p>
            <w:pPr>
              <w:jc w:val="left"/>
              <w:rPr>
                <w:rFonts w:ascii="Times New Roman" w:hAnsi="Times New Roman" w:cs="Times New Roman"/>
                <w:lang w:val="tr-TR"/>
              </w:rPr>
            </w:pPr>
          </w:p>
        </w:tc>
        <w:tc>
          <w:tcPr>
            <w:tcW w:w="40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Ölçütlerin Test Edilmesi</w:t>
      </w:r>
    </w:p>
    <w:p>
      <w:pPr>
        <w:jc w:val="both"/>
        <w:rPr>
          <w:rFonts w:ascii="Times New Roman" w:hAnsi="Times New Roman" w:cs="Times New Roman"/>
          <w:lang w:val="tr-TR"/>
        </w:rPr>
      </w:pPr>
      <w:r>
        <w:rPr>
          <w:rFonts w:ascii="Times New Roman" w:hAnsi="Times New Roman" w:cs="Times New Roman"/>
          <w:lang w:val="tr-TR"/>
        </w:rPr>
        <w:t xml:space="preserve">Grubunuzla birlikte belirlediğiniz ölçütleri test etmek için bir deney planlayınız. Hedeflerinize ulaşmak için görev paylaşımı yaparak bir yol haritası çiziniz ve hazırladığınız planı uygulayınız. 0,10 M hidroklorik asit ve 0,10 M sodyum hidroksit çözeltileri, fenolftalein, pH metre ya da pH kâğıdı, iletkenlik ölçer ya da pil-ampul (LED) düzeneği, büret ya da dereceli pipet ve beher gibi malzemeler kullanabilirsiniz. Deneyinizi gerçekleştirmek için farklı malzemeler de tercih edebilirsiniz. Deneyinizi gerçekleştirirken uymanız gereken güvenlik uyarılarını belirleyiniz. Ölçümlerinizi 20,0 mL asit çözeltisine eklenen baz çözeltisinin hacmine göre aşağıdaki tabloya kaydediniz.</w:t>
      </w:r>
    </w:p>
    <w:p>
      <w:pPr>
        <w:jc w:val="both"/>
        <w:rPr>
          <w:rFonts w:ascii="Times New Roman" w:hAnsi="Times New Roman" w:cs="Times New Roman"/>
          <w:lang w:val="tr-TR"/>
        </w:rPr>
      </w:pPr>
      <w:r>
        <w:rPr>
          <w:rFonts w:ascii="Times New Roman" w:hAnsi="Times New Roman" w:cs="Times New Roman"/>
          <w:lang w:val="tr-TR"/>
        </w:rPr>
        <w:t xml:space="preserve">• Tasarladığınız deneyin adını, amacını, yapılışını ve deney için gerekli malzemeleri not ediniz.</w:t>
      </w:r>
    </w:p>
    <w:p>
      <w:pPr>
        <w:jc w:val="both"/>
        <w:rPr>
          <w:rFonts w:ascii="Times New Roman" w:hAnsi="Times New Roman" w:cs="Times New Roman"/>
          <w:lang w:val="tr-TR"/>
        </w:rPr>
      </w:pPr>
      <w:r>
        <w:rPr>
          <w:rFonts w:ascii="Times New Roman" w:hAnsi="Times New Roman" w:cs="Times New Roman"/>
          <w:lang w:val="tr-TR"/>
        </w:rPr>
        <w:t xml:space="preserve">Deneyin Adı: ……………………………………………………………………………………………………</w:t>
      </w:r>
    </w:p>
    <w:p>
      <w:pPr>
        <w:jc w:val="both"/>
        <w:rPr>
          <w:rFonts w:ascii="Times New Roman" w:hAnsi="Times New Roman" w:cs="Times New Roman"/>
          <w:lang w:val="tr-TR"/>
        </w:rPr>
      </w:pPr>
      <w:r>
        <w:rPr>
          <w:rFonts w:ascii="Times New Roman" w:hAnsi="Times New Roman" w:cs="Times New Roman"/>
          <w:lang w:val="tr-TR"/>
        </w:rPr>
        <w:t xml:space="preserve">Deneyin Amacı: ……………………………………………………………………………………………………</w:t>
      </w:r>
    </w:p>
    <w:p>
      <w:pPr>
        <w:jc w:val="both"/>
        <w:rPr>
          <w:rFonts w:ascii="Times New Roman" w:hAnsi="Times New Roman" w:cs="Times New Roman"/>
          <w:lang w:val="tr-TR"/>
        </w:rPr>
      </w:pPr>
      <w:r>
        <w:rPr>
          <w:rFonts w:ascii="Times New Roman" w:hAnsi="Times New Roman" w:cs="Times New Roman"/>
          <w:lang w:val="tr-TR"/>
        </w:rPr>
        <w:t xml:space="preserve">Gerekli Malzemeler:</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Deneyin Yapılışı:</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1600"/>
        <w:gridCol w:w="3200"/>
        <w:gridCol w:w="2200"/>
      </w:tblGrid>
      <w:tr>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Eklenen NaOH (mL)</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pH</w:t>
            </w:r>
          </w:p>
        </w:tc>
        <w:tc>
          <w:tcPr>
            <w:tcW w:w="3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İletkenlik (mS/cm) / ampul parlaklığı</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Çözeltinin rengi</w:t>
            </w:r>
          </w:p>
        </w:tc>
      </w:tr>
      <w:tr>
        <w:trPr>
          <w:trHeight w:val="380"/>
        </w:trP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c>
          <w:tcPr>
            <w:tcW w:w="1600" w:type="dxa"/>
            <w:vAlign w:val="center"/>
          </w:tcPr>
          <w:p>
            <w:pPr>
              <w:jc w:val="center"/>
              <w:rPr>
                <w:rFonts w:ascii="Times New Roman" w:hAnsi="Times New Roman" w:cs="Times New Roman"/>
                <w:lang w:val="tr-TR"/>
              </w:rPr>
            </w:pPr>
          </w:p>
        </w:tc>
        <w:tc>
          <w:tcPr>
            <w:tcW w:w="3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380"/>
        </w:trP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tc>
        <w:tc>
          <w:tcPr>
            <w:tcW w:w="1600" w:type="dxa"/>
            <w:vAlign w:val="center"/>
          </w:tcPr>
          <w:p>
            <w:pPr>
              <w:jc w:val="center"/>
              <w:rPr>
                <w:rFonts w:ascii="Times New Roman" w:hAnsi="Times New Roman" w:cs="Times New Roman"/>
                <w:lang w:val="tr-TR"/>
              </w:rPr>
            </w:pPr>
          </w:p>
        </w:tc>
        <w:tc>
          <w:tcPr>
            <w:tcW w:w="3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380"/>
        </w:trP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1600" w:type="dxa"/>
            <w:vAlign w:val="center"/>
          </w:tcPr>
          <w:p>
            <w:pPr>
              <w:jc w:val="center"/>
              <w:rPr>
                <w:rFonts w:ascii="Times New Roman" w:hAnsi="Times New Roman" w:cs="Times New Roman"/>
                <w:lang w:val="tr-TR"/>
              </w:rPr>
            </w:pPr>
          </w:p>
        </w:tc>
        <w:tc>
          <w:tcPr>
            <w:tcW w:w="3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380"/>
        </w:trP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w:t>
            </w:r>
          </w:p>
        </w:tc>
        <w:tc>
          <w:tcPr>
            <w:tcW w:w="1600" w:type="dxa"/>
            <w:vAlign w:val="center"/>
          </w:tcPr>
          <w:p>
            <w:pPr>
              <w:jc w:val="center"/>
              <w:rPr>
                <w:rFonts w:ascii="Times New Roman" w:hAnsi="Times New Roman" w:cs="Times New Roman"/>
                <w:lang w:val="tr-TR"/>
              </w:rPr>
            </w:pPr>
          </w:p>
        </w:tc>
        <w:tc>
          <w:tcPr>
            <w:tcW w:w="3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380"/>
        </w:trP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19</w:t>
            </w:r>
          </w:p>
        </w:tc>
        <w:tc>
          <w:tcPr>
            <w:tcW w:w="1600" w:type="dxa"/>
            <w:vAlign w:val="center"/>
          </w:tcPr>
          <w:p>
            <w:pPr>
              <w:jc w:val="center"/>
              <w:rPr>
                <w:rFonts w:ascii="Times New Roman" w:hAnsi="Times New Roman" w:cs="Times New Roman"/>
                <w:lang w:val="tr-TR"/>
              </w:rPr>
            </w:pPr>
          </w:p>
        </w:tc>
        <w:tc>
          <w:tcPr>
            <w:tcW w:w="3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380"/>
        </w:trP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1600" w:type="dxa"/>
            <w:vAlign w:val="center"/>
          </w:tcPr>
          <w:p>
            <w:pPr>
              <w:jc w:val="center"/>
              <w:rPr>
                <w:rFonts w:ascii="Times New Roman" w:hAnsi="Times New Roman" w:cs="Times New Roman"/>
                <w:lang w:val="tr-TR"/>
              </w:rPr>
            </w:pPr>
          </w:p>
        </w:tc>
        <w:tc>
          <w:tcPr>
            <w:tcW w:w="3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380"/>
        </w:trP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21</w:t>
            </w:r>
          </w:p>
        </w:tc>
        <w:tc>
          <w:tcPr>
            <w:tcW w:w="1600" w:type="dxa"/>
            <w:vAlign w:val="center"/>
          </w:tcPr>
          <w:p>
            <w:pPr>
              <w:jc w:val="center"/>
              <w:rPr>
                <w:rFonts w:ascii="Times New Roman" w:hAnsi="Times New Roman" w:cs="Times New Roman"/>
                <w:lang w:val="tr-TR"/>
              </w:rPr>
            </w:pPr>
          </w:p>
        </w:tc>
        <w:tc>
          <w:tcPr>
            <w:tcW w:w="3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380"/>
        </w:trP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25</w:t>
            </w:r>
          </w:p>
        </w:tc>
        <w:tc>
          <w:tcPr>
            <w:tcW w:w="1600" w:type="dxa"/>
            <w:vAlign w:val="center"/>
          </w:tcPr>
          <w:p>
            <w:pPr>
              <w:jc w:val="center"/>
              <w:rPr>
                <w:rFonts w:ascii="Times New Roman" w:hAnsi="Times New Roman" w:cs="Times New Roman"/>
                <w:lang w:val="tr-TR"/>
              </w:rPr>
            </w:pPr>
          </w:p>
        </w:tc>
        <w:tc>
          <w:tcPr>
            <w:tcW w:w="3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380"/>
        </w:trP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w:t>
            </w:r>
          </w:p>
        </w:tc>
        <w:tc>
          <w:tcPr>
            <w:tcW w:w="1600" w:type="dxa"/>
            <w:vAlign w:val="center"/>
          </w:tcPr>
          <w:p>
            <w:pPr>
              <w:jc w:val="center"/>
              <w:rPr>
                <w:rFonts w:ascii="Times New Roman" w:hAnsi="Times New Roman" w:cs="Times New Roman"/>
                <w:lang w:val="tr-TR"/>
              </w:rPr>
            </w:pPr>
          </w:p>
        </w:tc>
        <w:tc>
          <w:tcPr>
            <w:tcW w:w="3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Okulunuzda pH metre ya da iletkenlik ölçer yoksa aşağıdaki hazır veri setini kullanabilirsiniz.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800"/>
        <w:gridCol w:w="800"/>
        <w:gridCol w:w="800"/>
        <w:gridCol w:w="800"/>
        <w:gridCol w:w="800"/>
        <w:gridCol w:w="800"/>
        <w:gridCol w:w="800"/>
        <w:gridCol w:w="800"/>
        <w:gridCol w:w="8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Eklenen NaOH (mL)</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0</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5</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10</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15</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19</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20</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21</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25</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30</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pH</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1,00</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1,22</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1,48</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1,85</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2,59</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7,00</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11,39</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12,05</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12,30</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İletkenlik (mS/cm)</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42,6</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28,1</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18,4</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11,5</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7,3</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6,3</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6,8</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8,4</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10,0</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Renk (fenolftalein)</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renksiz</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renksiz</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renksiz</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renksiz</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renksiz</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renksiz</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pembe</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pembe</w:t>
            </w:r>
          </w:p>
        </w:tc>
        <w:tc>
          <w:tcPr>
            <w:tcW w:w="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pembe</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Verilerin Yorumlanması</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Deney verilerinizi (ya da hazır veri setini) kullanarak eklenen NaOH hacmine karşı pH ve iletkenlik grafiklerini çiziniz.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19024" cy="2627381"/>
            <wp:docPr id="900001" name="Grafik 900001" descr="Boş pH-hacim grafik alanı"/>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4319024" cy="2627381"/>
                    </a:xfrm>
                    <a:prstGeom prst="rect">
                      <a:avLst/>
                    </a:prstGeom>
                  </pic:spPr>
                </pic:pic>
              </a:graphicData>
            </a:graphic>
          </wp:inline>
        </w:drawing>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19024" cy="2627381"/>
            <wp:docPr id="900002" name="Grafik 900002" descr="Boş iletkenlik-hacim grafik alanı"/>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4319024" cy="2627381"/>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Öğrencinin çizim yapacağı iki kareli grafik alanı. Kimya10’daki grafik alanı kalıbıyla yeniden çizilebilir.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Belirlediğiniz ölçütler nötralleşme olayını gözlemlemek için uygun mudur? 1. Aşamadaki tahminlerinizi deney verileriyle karşılaştırarak ölçütlerinizin geçerliğini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İletkenlik eklenen NaOH hacmi 20 mL’ye ulaşana kadar neden azalmış, sonra neden artmıştır? Çözeltideki iyonların türünü ve sayısını düşünerek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Fenolftaleinin rengi hangi noktada değişmiştir? Bu değişim size neyi göstermektedir?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HCl, NaOH ve karışım çözeltilerinde bulunan tanecikleri gösteren alt mikro düzeyde bir model çiziniz. Modelinize nötralleşme tepkimesinin denklemini sembolik olarak ekleyiniz. Deneyde gözlediğiniz makroskobik değişimleri (pH’ın ve iletkenliğin değişmesi, indikatörün renk değiştirmesi) modelinizdeki tanecik değişimleriyle ve denklemle ilişkilendirerek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8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Asit ve bazın tam olarak nötralleştiği noktada asidin H</w:t>
      </w:r>
      <w:r>
        <w:rPr>
          <w:rFonts w:ascii="Times New Roman" w:hAnsi="Times New Roman" w:cs="Times New Roman"/>
          <w:lang w:val="tr-TR"/>
          <w:vertAlign w:val="superscript"/>
        </w:rPr>
        <w:t xml:space="preserve">+</w:t>
      </w:r>
      <w:r>
        <w:rPr>
          <w:rFonts w:ascii="Times New Roman" w:hAnsi="Times New Roman" w:cs="Times New Roman"/>
          <w:lang w:val="tr-TR"/>
        </w:rPr>
        <w:t xml:space="preserve"> mol sayısı ile bazın OH</w:t>
      </w:r>
      <w:r>
        <w:rPr>
          <w:rFonts w:ascii="Times New Roman" w:hAnsi="Times New Roman" w:cs="Times New Roman"/>
          <w:lang w:val="tr-TR"/>
          <w:vertAlign w:val="superscript"/>
        </w:rPr>
        <w:t xml:space="preserve">-</w:t>
      </w:r>
      <w:r>
        <w:rPr>
          <w:rFonts w:ascii="Times New Roman" w:hAnsi="Times New Roman" w:cs="Times New Roman"/>
          <w:lang w:val="tr-TR"/>
        </w:rPr>
        <w:t xml:space="preserve"> mol sayısı arasında nasıl bir ilişki vardır? Bu ilişkiyi derişim (M) ve hacim (V) kullanarak matematiksel olarak ifade ediniz. Ardından belirlediğiniz ölçütleri ve bu matematiksel ilişkiyi kullanarak nötralleşme olayının operasyonel tanımını yapınız.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Deney sürecinde kendinizi değerlendirmek, yaşadığınız duyguları fark etmek ve süreci geliştirmek için yapılması gerekenleri belirlemek amacıyla karekodda yer alan “Yansıtma Raporu”nu doldurunuz.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Yansıtma Raporu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Raporu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2.10.’da gözlediğiniz pH, iletkenlik ve indikatör rengindeki değişimler, asit ile baz arasında bir tepkime gerçekleştiğini gösterir. Asit ve bazın tepkimeye girerek tuz ve su oluşturduğu kimyasal olaya nötralleşme denir. Bu tepkimede asit ve baz birbirinin asidik ve bazik özelliklerini etkisiz hâle getirir. Kuvvetli asitler ve kuvvetli bazlar suda tamamen iyonlaştığından aralarındaki nötralleşme tepkimesi çok hızlı ve tamamen ürünler yönünde gerçekleşir. Peki bu tepkimede hangi tanecikler değişime uğrar? Örneğin hidrobromik asit (HBr) çözeltisinde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(kısaca H</w:t>
      </w:r>
      <w:r>
        <w:rPr>
          <w:rFonts w:ascii="Times New Roman" w:hAnsi="Times New Roman" w:cs="Times New Roman"/>
          <w:lang w:val="tr-TR"/>
          <w:vertAlign w:val="superscript"/>
        </w:rPr>
        <w:t xml:space="preserve">+</w:t>
      </w:r>
      <w:r>
        <w:rPr>
          <w:rFonts w:ascii="Times New Roman" w:hAnsi="Times New Roman" w:cs="Times New Roman"/>
          <w:lang w:val="tr-TR"/>
        </w:rPr>
        <w:t xml:space="preserve">) ve Br</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potasyum hidroksit (KOH) çözeltisinde ise K</w:t>
      </w:r>
      <w:r>
        <w:rPr>
          <w:rFonts w:ascii="Times New Roman" w:hAnsi="Times New Roman" w:cs="Times New Roman"/>
          <w:lang w:val="tr-TR"/>
          <w:vertAlign w:val="superscript"/>
        </w:rPr>
        <w:t xml:space="preserve">+</w:t>
      </w:r>
      <w:r>
        <w:rPr>
          <w:rFonts w:ascii="Times New Roman" w:hAnsi="Times New Roman" w:cs="Times New Roman"/>
          <w:lang w:val="tr-TR"/>
        </w:rPr>
        <w:t xml:space="preserve"> ve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bulunur. Bu iki çözelti karıştırıldığında H</w:t>
      </w:r>
      <w:r>
        <w:rPr>
          <w:rFonts w:ascii="Times New Roman" w:hAnsi="Times New Roman" w:cs="Times New Roman"/>
          <w:lang w:val="tr-TR"/>
          <w:vertAlign w:val="superscript"/>
        </w:rPr>
        <w:t xml:space="preserve">+</w:t>
      </w:r>
      <w:r>
        <w:rPr>
          <w:rFonts w:ascii="Times New Roman" w:hAnsi="Times New Roman" w:cs="Times New Roman"/>
          <w:lang w:val="tr-TR"/>
        </w:rPr>
        <w:t xml:space="preserve"> ve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birleşerek su moleküllerini oluşturur (Görsel C). K</w:t>
      </w:r>
      <w:r>
        <w:rPr>
          <w:rFonts w:ascii="Times New Roman" w:hAnsi="Times New Roman" w:cs="Times New Roman"/>
          <w:lang w:val="tr-TR"/>
          <w:vertAlign w:val="superscript"/>
        </w:rPr>
        <w:t xml:space="preserve">+</w:t>
      </w:r>
      <w:r>
        <w:rPr>
          <w:rFonts w:ascii="Times New Roman" w:hAnsi="Times New Roman" w:cs="Times New Roman"/>
          <w:lang w:val="tr-TR"/>
        </w:rPr>
        <w:t xml:space="preserve"> ve Br</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ise tepkimeye katılmadan çözeltide kalır; tepkimeye katılmayan bu iyonlara seyirci iyonlar denir. Karışımdaki su buharlaştırılırsa seyirci iyonlar KBr tuzu olarak kristallenir.</w:t>
      </w:r>
    </w:p>
    <w:p>
      <w:pPr>
        <w:jc w:val="center"/>
        <w:rPr>
          <w:rFonts w:ascii="Times New Roman" w:hAnsi="Times New Roman" w:cs="Times New Roman"/>
          <w:lang w:val="tr-TR"/>
        </w:rPr>
      </w:pPr>
      <w:r>
        <w:rPr>
          <w:rFonts w:ascii="Times New Roman" w:hAnsi="Times New Roman" w:cs="Times New Roman"/>
          <w:lang w:val="tr-TR"/>
        </w:rPr>
        <w:t xml:space="preserve">HBr(suda) + KOH(suda) → KBr(suda)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(molekül denklemi)</w:t>
      </w:r>
    </w:p>
    <w:p>
      <w:pPr>
        <w:jc w:val="center"/>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(net iyon denklemi)</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398018" cy="2697485"/>
            <wp:docPr id="900005" name="Grafik 900005" descr="HBr-KOH nötralleşmesi alt mikro model"/>
            <wp:cNvGraphicFramePr>
              <a:graphicFrameLocks noChangeAspect="1"/>
            </wp:cNvGraphicFramePr>
            <a:graphic>
              <a:graphicData uri="http://schemas.openxmlformats.org/drawingml/2006/picture">
                <pic:pic>
                  <pic:nvPicPr>
                    <pic:cNvPr id="900005" name="k11_900005.png"/>
                    <pic:cNvPicPr/>
                  </pic:nvPicPr>
                  <pic:blipFill>
                    <a:blip r:embed="rIdK3"/>
                    <a:stretch>
                      <a:fillRect/>
                    </a:stretch>
                  </pic:blipFill>
                  <pic:spPr>
                    <a:xfrm>
                      <a:off x="0" y="0"/>
                      <a:ext cx="5398018" cy="2697485"/>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Görsel C: HBr ve KOH çözeltileri ile karışımlarındaki taneciklerin alt mikro düzeyde gösterimi</w:t>
      </w:r>
    </w:p>
    <w:p>
      <w:pPr>
        <w:jc w:val="both"/>
        <w:rPr>
          <w:rFonts w:ascii="Times New Roman" w:hAnsi="Times New Roman" w:cs="Times New Roman"/>
          <w:lang w:val="tr-TR"/>
        </w:rPr>
      </w:pPr>
      <w:r>
        <w:rPr>
          <w:rFonts w:ascii="Times New Roman" w:hAnsi="Times New Roman" w:cs="Times New Roman"/>
          <w:lang w:val="tr-TR"/>
        </w:rPr>
        <w:t xml:space="preserve">Bütün kuvvetli asit-kuvvetli baz tepkimelerinin net iyon denklemi aynıdır. Asit ve baz çözeltileri karıştırıldığında karışımın ısınması, nötralleşme tepkimelerinin ekzotermik olduğunu gösterir. Net iyon denklemi aynı olduğundan seyreltik kuvvetli asit ve kuvvetli baz çözeltileri arasındaki tepkimelerde 1 mol su oluşurken açığa çıkan ısı da yaklaşık aynıdır (ΔH ≈ −56 kJ/mol H</w:t>
      </w:r>
      <w:r>
        <w:rPr>
          <w:rFonts w:ascii="Times New Roman" w:hAnsi="Times New Roman" w:cs="Times New Roman"/>
          <w:lang w:val="tr-TR"/>
          <w:vertAlign w:val="subscript"/>
        </w:rPr>
        <w:t xml:space="preserve">2</w:t>
      </w:r>
      <w:r>
        <w:rPr>
          <w:rFonts w:ascii="Times New Roman" w:hAnsi="Times New Roman" w:cs="Times New Roman"/>
          <w:lang w:val="tr-TR"/>
        </w:rPr>
        <w:t xml:space="preserve">O). Nötralleşme olayı pH, indikatör rengi ve elektriksel iletkenlik ölçülerek izlenebilir. Bu ölçütleri 50,0 mL 0,060 M HBr çözeltisine 0,10 M KOH çözeltisi eklenmesi örneği üzerinde inceleyelim:</w:t>
      </w:r>
    </w:p>
    <w:p>
      <w:pPr>
        <w:jc w:val="both"/>
        <w:rPr>
          <w:rFonts w:ascii="Times New Roman" w:hAnsi="Times New Roman" w:cs="Times New Roman"/>
          <w:lang w:val="tr-TR"/>
        </w:rPr>
      </w:pPr>
      <w:r>
        <w:rPr>
          <w:rFonts w:ascii="Times New Roman" w:hAnsi="Times New Roman" w:cs="Times New Roman"/>
          <w:lang w:val="tr-TR"/>
        </w:rPr>
        <w:t xml:space="preserve">• pH değişimi: Asit çözeltisine baz eklendikçe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harcandığı için pH yavaş yavaş artar. Asitten gelen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iyonlarının mol sayısı bazdan gelen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iyonlarının mol sayısına eşit olduğunda (n</w:t>
      </w:r>
      <w:r>
        <w:rPr>
          <w:rFonts w:ascii="Times New Roman" w:hAnsi="Times New Roman" w:cs="Times New Roman"/>
          <w:lang w:val="tr-TR"/>
          <w:vertAlign w:val="subscript"/>
        </w:rPr>
        <w:t xml:space="preserve">H+</w:t>
      </w:r>
      <w:r>
        <w:rPr>
          <w:rFonts w:ascii="Times New Roman" w:hAnsi="Times New Roman" w:cs="Times New Roman"/>
          <w:lang w:val="tr-TR"/>
        </w:rPr>
        <w:t xml:space="preserve"> = n</w:t>
      </w:r>
      <w:r>
        <w:rPr>
          <w:rFonts w:ascii="Times New Roman" w:hAnsi="Times New Roman" w:cs="Times New Roman"/>
          <w:lang w:val="tr-TR"/>
          <w:vertAlign w:val="subscript"/>
        </w:rPr>
        <w:t xml:space="preserve">OH−</w:t>
      </w:r>
      <w:r>
        <w:rPr>
          <w:rFonts w:ascii="Times New Roman" w:hAnsi="Times New Roman" w:cs="Times New Roman"/>
          <w:lang w:val="tr-TR"/>
        </w:rPr>
        <w:t xml:space="preserve">) asit ve baz tamamen tükenir; bu duruma tam nötralleşme denir. Tam nötralleşmede çözeltide yalnızca suyun otoiyonizasyonundan gelen H</w:t>
      </w:r>
      <w:r>
        <w:rPr>
          <w:rFonts w:ascii="Times New Roman" w:hAnsi="Times New Roman" w:cs="Times New Roman"/>
          <w:lang w:val="tr-TR"/>
          <w:vertAlign w:val="superscript"/>
        </w:rPr>
        <w:t xml:space="preserve">+</w:t>
      </w:r>
      <w:r>
        <w:rPr>
          <w:rFonts w:ascii="Times New Roman" w:hAnsi="Times New Roman" w:cs="Times New Roman"/>
          <w:lang w:val="tr-TR"/>
        </w:rPr>
        <w:t xml:space="preserve"> ve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bulunduğundan kuvvetli asit-kuvvetli baz karışımının pH değeri 25 °C’de 7’dir. Tam nötralleşme noktasına yaklaşıldığında az miktarda baz eklenmesi pH’ı büyük ölçüde değiştirir. Örnekteki HBr çözeltisinin başlangıçta 1,22 olan pH değeri, eklenen KOH hacmi 29,0 mL iken 2,90; 30,0 mL iken 7,00; 31,0 mL iken 11,09 olur. Yalnızca 2 mL baz eklenmesi pH’ı yaklaşık 8 birim artırmıştır.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İndikatörün renk değişimi:</w:t>
      </w:r>
      <w:r>
        <w:rPr>
          <w:rFonts w:ascii="Times New Roman" w:hAnsi="Times New Roman" w:cs="Times New Roman"/>
          <w:lang w:val="tr-TR"/>
        </w:rPr>
        <w:t xml:space="preserve"> İndikatörler (belirteçler), ortamın pH değerine göre renk değiştiren maddelerdir. Fenolftalein asidik ve nötr ortamda renksiz, pH yaklaşık 8,2’nin üzerinde ise pembe renklidir. Metil oranj pH 3,1’in altında kırmızı, 4,4’ün üzerinde sarı renklidir. Mor lahana suyu gibi doğal indikatörler de kullanılabilir. Ancak doğal indikatörlerin içeriği kaynağına göre değiştiği için renk değiştirdikleri pH aralığı kesin değildir; bu nedenle laboratuvarda yapay indikatörler tercih edilir. Bazı indikatörlerin renk değiştirdiği pH aralıkları Tablo A’da verilmiştir. Tam nötralleşme anını doğru belirleyebilmek için renk değiştirme aralığı bu ana yakın olan ve renk değişimi belirgin biçimde gözlenebilen bir indikatör seçilir. Farklı indikatörlerin karışımından hazırlanan ve her pH değerinde farklı renk alan </w:t>
      </w:r>
      <w:r>
        <w:rPr>
          <w:rFonts w:ascii="Times New Roman" w:hAnsi="Times New Roman" w:cs="Times New Roman"/>
          <w:b/>
          <w:bCs/>
          <w:lang w:val="tr-TR"/>
        </w:rPr>
        <w:t xml:space="preserve">evrensel indikatör</w:t>
      </w:r>
      <w:r>
        <w:rPr>
          <w:rFonts w:ascii="Times New Roman" w:hAnsi="Times New Roman" w:cs="Times New Roman"/>
          <w:lang w:val="tr-TR"/>
        </w:rPr>
        <w:t xml:space="preserve"> (pH kâğıdı) ise çözeltinin yaklaşık pH değerini belirlemek için kullanılır.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Bazı indikatörlerin renk değiştirdiği pH aralıkları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2100"/>
        <w:gridCol w:w="2400"/>
        <w:gridCol w:w="2100"/>
      </w:tblGrid>
      <w:tr>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İndikatör</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Asidik taraftaki renk</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Renk değiştirdiği pH aralığı</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Bazik taraftaki renk</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Metil oranj</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kırmızı</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3,1-4,4</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sarı</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Metil kırmızısı</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kırmızı</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4,2-6,3</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sarı</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Bromtimol mavisi</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sarı</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6,0-7,6</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mavi</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Fenolftalein</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renksiz</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8,2-10,0</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pembe</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 Elektriksel iletkenlik: Bir çözeltinin elektriği iletmesi içerdiği iyonların derişimine ve türüne bağlıdır. HBr çözeltisine KOH çözeltisi eklendikçe her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 bir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iyonuyla su oluşturur; çözeltide hareketliliği çok yüksek olan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iyonlarının yerini daha yavaş hareket eden K</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alır. Ayrıca çözeltinin hacmi arttığı için iyon derişimleri azalır. Bu nedenle iletkenlik azalır (Grafik A). Tam nötralleşme noktasında çözeltide yalnızca seyirci iyonlar (K</w:t>
      </w:r>
      <w:r>
        <w:rPr>
          <w:rFonts w:ascii="Times New Roman" w:hAnsi="Times New Roman" w:cs="Times New Roman"/>
          <w:lang w:val="tr-TR"/>
          <w:vertAlign w:val="superscript"/>
        </w:rPr>
        <w:t xml:space="preserve">+</w:t>
      </w:r>
      <w:r>
        <w:rPr>
          <w:rFonts w:ascii="Times New Roman" w:hAnsi="Times New Roman" w:cs="Times New Roman"/>
          <w:lang w:val="tr-TR"/>
        </w:rPr>
        <w:t xml:space="preserve"> ve Br</w:t>
      </w:r>
      <w:r>
        <w:rPr>
          <w:rFonts w:ascii="Times New Roman" w:hAnsi="Times New Roman" w:cs="Times New Roman"/>
          <w:lang w:val="tr-TR"/>
          <w:vertAlign w:val="superscript"/>
        </w:rPr>
        <w:t xml:space="preserve">−</w:t>
      </w:r>
      <w:r>
        <w:rPr>
          <w:rFonts w:ascii="Times New Roman" w:hAnsi="Times New Roman" w:cs="Times New Roman"/>
          <w:lang w:val="tr-TR"/>
        </w:rPr>
        <w:t xml:space="preserve">) kaldığından iletkenlik en düşük değerine ulaşır. Bu noktadan sonra eklenen K</w:t>
      </w:r>
      <w:r>
        <w:rPr>
          <w:rFonts w:ascii="Times New Roman" w:hAnsi="Times New Roman" w:cs="Times New Roman"/>
          <w:lang w:val="tr-TR"/>
          <w:vertAlign w:val="superscript"/>
        </w:rPr>
        <w:t xml:space="preserve">+</w:t>
      </w:r>
      <w:r>
        <w:rPr>
          <w:rFonts w:ascii="Times New Roman" w:hAnsi="Times New Roman" w:cs="Times New Roman"/>
          <w:lang w:val="tr-TR"/>
        </w:rPr>
        <w:t xml:space="preserve"> ve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tepkimeye girmeden çözeltide biriktiği için iletkenlik yeniden artar.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78689" cy="2807213"/>
            <wp:docPr id="900006" name="Grafik 900006" descr="HBr-KOH iletkenlik-hacim grafiği"/>
            <wp:cNvGraphicFramePr>
              <a:graphicFrameLocks noChangeAspect="1"/>
            </wp:cNvGraphicFramePr>
            <a:graphic>
              <a:graphicData uri="http://schemas.openxmlformats.org/drawingml/2006/picture">
                <pic:pic>
                  <pic:nvPicPr>
                    <pic:cNvPr id="900006" name="k11_900006.png"/>
                    <pic:cNvPicPr/>
                  </pic:nvPicPr>
                  <pic:blipFill>
                    <a:blip r:embed="rIdK4"/>
                    <a:stretch>
                      <a:fillRect/>
                    </a:stretch>
                  </pic:blipFill>
                  <pic:spPr>
                    <a:xfrm>
                      <a:off x="0" y="0"/>
                      <a:ext cx="4678689" cy="2807213"/>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Grafik A: 50,0 mL 0,060 M HBr çözeltisine 0,10 M KOH çözeltisi eklenirken elektriksel iletkenliğin değişimi</w:t>
      </w:r>
    </w:p>
    <w:p>
      <w:pPr>
        <w:jc w:val="both"/>
        <w:rPr>
          <w:rFonts w:ascii="Times New Roman" w:hAnsi="Times New Roman" w:cs="Times New Roman"/>
          <w:lang w:val="tr-TR"/>
        </w:rPr>
      </w:pPr>
      <w:r>
        <w:rPr>
          <w:rFonts w:ascii="Times New Roman" w:hAnsi="Times New Roman" w:cs="Times New Roman"/>
          <w:lang w:val="tr-TR"/>
        </w:rPr>
        <w:t xml:space="preserve">İncelenen örnekte 50,0 mL 0,060 M HBr çözeltisindeki 3,0·10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mol H</w:t>
      </w:r>
      <w:r>
        <w:rPr>
          <w:rFonts w:ascii="Times New Roman" w:hAnsi="Times New Roman" w:cs="Times New Roman"/>
          <w:lang w:val="tr-TR"/>
          <w:vertAlign w:val="superscript"/>
        </w:rPr>
        <w:t xml:space="preserve">+</w:t>
      </w:r>
      <w:r>
        <w:rPr>
          <w:rFonts w:ascii="Times New Roman" w:hAnsi="Times New Roman" w:cs="Times New Roman"/>
          <w:lang w:val="tr-TR"/>
        </w:rPr>
        <w:t xml:space="preserve">, 30,0 mL 0,10 M KOH çözeltisindeki 3,0·10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mol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ile tamamen tepkimeye girmiştir. Buna göre tam nötralleşmenin koşulu asitten gelen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iyonlarının mol sayısının bazdan gelen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iyonlarının mol sayısına eşit olmasıdır. Asit ve bazın derişimi (M, mol/L) ve hacmi (V, L) biliniyorsa bu koşul aşağıdaki eşitlikle ifade edilir: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DEEAF6"/>
          </w:tcPr>
          <w:p>
            <w:pPr>
              <w:jc w:val="center"/>
              <w:rPr>
                <w:rFonts w:ascii="Times New Roman" w:hAnsi="Times New Roman" w:cs="Times New Roman"/>
                <w:lang w:val="tr-TR"/>
              </w:rPr>
            </w:pPr>
            <m:oMathPara>
              <m:oMath>
                <m:r>
                  <m:rPr>
                    <m:sty m:val="p"/>
                  </m:rPr>
                  <w:rPr>
                    <w:rFonts w:ascii="Cambria Math" w:hAnsi="Cambria Math" w:cs="Cambria Math"/>
                    <w:lang w:val="tr-TR"/>
                  </w:rPr>
                  <w:t xml:space="preserve">n(H⁺) = n(OH⁻)     ⟹     </w:t>
                </m:r>
                <m:sSub>
                  <m:e>
                    <m:r>
                      <m:rPr>
                        <m:sty m:val="p"/>
                      </m:rPr>
                      <w:rPr>
                        <w:rFonts w:ascii="Cambria Math" w:hAnsi="Cambria Math" w:cs="Cambria Math"/>
                        <w:lang w:val="tr-TR"/>
                      </w:rPr>
                      <w:t xml:space="preserve">M</w:t>
                    </m:r>
                  </m:e>
                  <m:sub>
                    <m:r>
                      <m:rPr>
                        <m:sty m:val="p"/>
                      </m:rPr>
                      <w:rPr>
                        <w:rFonts w:ascii="Cambria Math" w:hAnsi="Cambria Math" w:cs="Cambria Math"/>
                        <w:lang w:val="tr-TR"/>
                      </w:rPr>
                      <w:t xml:space="preserve">a</w:t>
                    </m:r>
                  </m:sub>
                </m:sSub>
                <m:r>
                  <m:rPr>
                    <m:sty m:val="p"/>
                  </m:rPr>
                  <w:rPr>
                    <w:rFonts w:ascii="Cambria Math" w:hAnsi="Cambria Math" w:cs="Cambria Math"/>
                    <w:lang w:val="tr-TR"/>
                  </w:rPr>
                  <w:t xml:space="preserve"> · </w:t>
                </m:r>
                <m:sSub>
                  <m:e>
                    <m:r>
                      <m:rPr>
                        <m:sty m:val="p"/>
                      </m:rPr>
                      <w:rPr>
                        <w:rFonts w:ascii="Cambria Math" w:hAnsi="Cambria Math" w:cs="Cambria Math"/>
                        <w:lang w:val="tr-TR"/>
                      </w:rPr>
                      <w:t xml:space="preserve">V</w:t>
                    </m:r>
                  </m:e>
                  <m:sub>
                    <m:r>
                      <m:rPr>
                        <m:sty m:val="p"/>
                      </m:rPr>
                      <w:rPr>
                        <w:rFonts w:ascii="Cambria Math" w:hAnsi="Cambria Math" w:cs="Cambria Math"/>
                        <w:lang w:val="tr-TR"/>
                      </w:rPr>
                      <w:t xml:space="preserve">a</w:t>
                    </m:r>
                  </m:sub>
                </m:sSub>
                <m:r>
                  <m:rPr>
                    <m:sty m:val="p"/>
                  </m:rPr>
                  <w:rPr>
                    <w:rFonts w:ascii="Cambria Math" w:hAnsi="Cambria Math" w:cs="Cambria Math"/>
                    <w:lang w:val="tr-TR"/>
                  </w:rPr>
                  <w:t xml:space="preserve"> · (H⁺ sayısı) = </w:t>
                </m:r>
                <m:sSub>
                  <m:e>
                    <m:r>
                      <m:rPr>
                        <m:sty m:val="p"/>
                      </m:rPr>
                      <w:rPr>
                        <w:rFonts w:ascii="Cambria Math" w:hAnsi="Cambria Math" w:cs="Cambria Math"/>
                        <w:lang w:val="tr-TR"/>
                      </w:rPr>
                      <w:t xml:space="preserve">M</w:t>
                    </m:r>
                  </m:e>
                  <m:sub>
                    <m:r>
                      <m:rPr>
                        <m:sty m:val="p"/>
                      </m:rPr>
                      <w:rPr>
                        <w:rFonts w:ascii="Cambria Math" w:hAnsi="Cambria Math" w:cs="Cambria Math"/>
                        <w:lang w:val="tr-TR"/>
                      </w:rPr>
                      <w:t xml:space="preserve">b</w:t>
                    </m:r>
                  </m:sub>
                </m:sSub>
                <m:r>
                  <m:rPr>
                    <m:sty m:val="p"/>
                  </m:rPr>
                  <w:rPr>
                    <w:rFonts w:ascii="Cambria Math" w:hAnsi="Cambria Math" w:cs="Cambria Math"/>
                    <w:lang w:val="tr-TR"/>
                  </w:rPr>
                  <w:t xml:space="preserve"> · </w:t>
                </m:r>
                <m:sSub>
                  <m:e>
                    <m:r>
                      <m:rPr>
                        <m:sty m:val="p"/>
                      </m:rPr>
                      <w:rPr>
                        <w:rFonts w:ascii="Cambria Math" w:hAnsi="Cambria Math" w:cs="Cambria Math"/>
                        <w:lang w:val="tr-TR"/>
                      </w:rPr>
                      <w:t xml:space="preserve">V</w:t>
                    </m:r>
                  </m:e>
                  <m:sub>
                    <m:r>
                      <m:rPr>
                        <m:sty m:val="p"/>
                      </m:rPr>
                      <w:rPr>
                        <w:rFonts w:ascii="Cambria Math" w:hAnsi="Cambria Math" w:cs="Cambria Math"/>
                        <w:lang w:val="tr-TR"/>
                      </w:rPr>
                      <w:t xml:space="preserve">b</w:t>
                    </m:r>
                  </m:sub>
                </m:sSub>
                <m:r>
                  <m:rPr>
                    <m:sty m:val="p"/>
                  </m:rPr>
                  <w:rPr>
                    <w:rFonts w:ascii="Cambria Math" w:hAnsi="Cambria Math" w:cs="Cambria Math"/>
                    <w:lang w:val="tr-TR"/>
                  </w:rPr>
                  <w:t xml:space="preserve"> · (OH⁻ sayısı)</w:t>
                </m:r>
              </m:oMath>
            </m:oMathPara>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Burada “H</w:t>
      </w:r>
      <w:r>
        <w:rPr>
          <w:rFonts w:ascii="Times New Roman" w:hAnsi="Times New Roman" w:cs="Times New Roman"/>
          <w:lang w:val="tr-TR"/>
          <w:vertAlign w:val="superscript"/>
        </w:rPr>
        <w:t xml:space="preserve">+</w:t>
      </w:r>
      <w:r>
        <w:rPr>
          <w:rFonts w:ascii="Times New Roman" w:hAnsi="Times New Roman" w:cs="Times New Roman"/>
          <w:lang w:val="tr-TR"/>
        </w:rPr>
        <w:t xml:space="preserve"> sayısı” asidin bir molekülünün suya verebildiği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 sayısını (HCl ve HNO</w:t>
      </w:r>
      <w:r>
        <w:rPr>
          <w:rFonts w:ascii="Times New Roman" w:hAnsi="Times New Roman" w:cs="Times New Roman"/>
          <w:lang w:val="tr-TR"/>
          <w:vertAlign w:val="subscript"/>
        </w:rPr>
        <w:t xml:space="preserve">3</w:t>
      </w:r>
      <w:r>
        <w:rPr>
          <w:rFonts w:ascii="Times New Roman" w:hAnsi="Times New Roman" w:cs="Times New Roman"/>
          <w:lang w:val="tr-TR"/>
        </w:rPr>
        <w:t xml:space="preserve"> için 1, H</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 için 2), “OH</w:t>
      </w:r>
      <w:r>
        <w:rPr>
          <w:rFonts w:ascii="Times New Roman" w:hAnsi="Times New Roman" w:cs="Times New Roman"/>
          <w:lang w:val="tr-TR"/>
          <w:vertAlign w:val="superscript"/>
        </w:rPr>
        <w:t xml:space="preserve">−</w:t>
      </w:r>
      <w:r>
        <w:rPr>
          <w:rFonts w:ascii="Times New Roman" w:hAnsi="Times New Roman" w:cs="Times New Roman"/>
          <w:lang w:val="tr-TR"/>
        </w:rPr>
        <w:t xml:space="preserve"> sayısı” ise bazın bir birim formülünden açığa çıkan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 sayısını (NaOH ve KOH için 1, Ca(OH)</w:t>
      </w:r>
      <w:r>
        <w:rPr>
          <w:rFonts w:ascii="Times New Roman" w:hAnsi="Times New Roman" w:cs="Times New Roman"/>
          <w:lang w:val="tr-TR"/>
          <w:vertAlign w:val="subscript"/>
        </w:rPr>
        <w:t xml:space="preserve">2</w:t>
      </w:r>
      <w:r>
        <w:rPr>
          <w:rFonts w:ascii="Times New Roman" w:hAnsi="Times New Roman" w:cs="Times New Roman"/>
          <w:lang w:val="tr-TR"/>
        </w:rPr>
        <w:t xml:space="preserve"> ve Ba(OH)</w:t>
      </w:r>
      <w:r>
        <w:rPr>
          <w:rFonts w:ascii="Times New Roman" w:hAnsi="Times New Roman" w:cs="Times New Roman"/>
          <w:lang w:val="tr-TR"/>
          <w:vertAlign w:val="subscript"/>
        </w:rPr>
        <w:t xml:space="preserve">2</w:t>
      </w:r>
      <w:r>
        <w:rPr>
          <w:rFonts w:ascii="Times New Roman" w:hAnsi="Times New Roman" w:cs="Times New Roman"/>
          <w:lang w:val="tr-TR"/>
        </w:rPr>
        <w:t xml:space="preserve"> için 2) gösterir. H</w:t>
      </w:r>
      <w:r>
        <w:rPr>
          <w:rFonts w:ascii="Times New Roman" w:hAnsi="Times New Roman" w:cs="Times New Roman"/>
          <w:lang w:val="tr-TR"/>
          <w:vertAlign w:val="superscript"/>
        </w:rPr>
        <w:t xml:space="preserve">+</w:t>
      </w:r>
      <w:r>
        <w:rPr>
          <w:rFonts w:ascii="Times New Roman" w:hAnsi="Times New Roman" w:cs="Times New Roman"/>
          <w:lang w:val="tr-TR"/>
        </w:rPr>
        <w:t xml:space="preserve"> ve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iyonlarının mol sayıları eşit değilse gerçekleşen nötralleşmeye kısmi nötralleşme denir. n</w:t>
      </w:r>
      <w:r>
        <w:rPr>
          <w:rFonts w:ascii="Times New Roman" w:hAnsi="Times New Roman" w:cs="Times New Roman"/>
          <w:lang w:val="tr-TR"/>
          <w:vertAlign w:val="subscript"/>
        </w:rPr>
        <w:t xml:space="preserve">H+</w:t>
      </w:r>
      <w:r>
        <w:rPr>
          <w:rFonts w:ascii="Times New Roman" w:hAnsi="Times New Roman" w:cs="Times New Roman"/>
          <w:lang w:val="tr-TR"/>
        </w:rPr>
        <w:t xml:space="preserve"> &gt; n</w:t>
      </w:r>
      <w:r>
        <w:rPr>
          <w:rFonts w:ascii="Times New Roman" w:hAnsi="Times New Roman" w:cs="Times New Roman"/>
          <w:lang w:val="tr-TR"/>
          <w:vertAlign w:val="subscript"/>
        </w:rPr>
        <w:t xml:space="preserve">OH−</w:t>
      </w:r>
      <w:r>
        <w:rPr>
          <w:rFonts w:ascii="Times New Roman" w:hAnsi="Times New Roman" w:cs="Times New Roman"/>
          <w:lang w:val="tr-TR"/>
        </w:rPr>
        <w:t xml:space="preserve"> ise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 artar ve karışım asidik, n</w:t>
      </w:r>
      <w:r>
        <w:rPr>
          <w:rFonts w:ascii="Times New Roman" w:hAnsi="Times New Roman" w:cs="Times New Roman"/>
          <w:lang w:val="tr-TR"/>
          <w:vertAlign w:val="subscript"/>
        </w:rPr>
        <w:t xml:space="preserve">OH−</w:t>
      </w:r>
      <w:r>
        <w:rPr>
          <w:rFonts w:ascii="Times New Roman" w:hAnsi="Times New Roman" w:cs="Times New Roman"/>
          <w:lang w:val="tr-TR"/>
        </w:rPr>
        <w:t xml:space="preserve"> &gt; n</w:t>
      </w:r>
      <w:r>
        <w:rPr>
          <w:rFonts w:ascii="Times New Roman" w:hAnsi="Times New Roman" w:cs="Times New Roman"/>
          <w:lang w:val="tr-TR"/>
          <w:vertAlign w:val="subscript"/>
        </w:rPr>
        <w:t xml:space="preserve">H+</w:t>
      </w:r>
      <w:r>
        <w:rPr>
          <w:rFonts w:ascii="Times New Roman" w:hAnsi="Times New Roman" w:cs="Times New Roman"/>
          <w:lang w:val="tr-TR"/>
        </w:rPr>
        <w:t xml:space="preserve"> ise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 artar ve karışım bazik olur. Artan iyonun mol sayısı karışımın toplam hacmine (V</w:t>
      </w:r>
      <w:r>
        <w:rPr>
          <w:rFonts w:ascii="Times New Roman" w:hAnsi="Times New Roman" w:cs="Times New Roman"/>
          <w:lang w:val="tr-TR"/>
          <w:vertAlign w:val="subscript"/>
        </w:rPr>
        <w:t xml:space="preserve">asit</w:t>
      </w:r>
      <w:r>
        <w:rPr>
          <w:rFonts w:ascii="Times New Roman" w:hAnsi="Times New Roman" w:cs="Times New Roman"/>
          <w:lang w:val="tr-TR"/>
        </w:rPr>
        <w:t xml:space="preserve"> + V</w:t>
      </w:r>
      <w:r>
        <w:rPr>
          <w:rFonts w:ascii="Times New Roman" w:hAnsi="Times New Roman" w:cs="Times New Roman"/>
          <w:lang w:val="tr-TR"/>
          <w:vertAlign w:val="subscript"/>
        </w:rPr>
        <w:t xml:space="preserve">baz</w:t>
      </w:r>
      <w:r>
        <w:rPr>
          <w:rFonts w:ascii="Times New Roman" w:hAnsi="Times New Roman" w:cs="Times New Roman"/>
          <w:lang w:val="tr-TR"/>
        </w:rPr>
        <w:t xml:space="preserve">; hacimlerin toplanabildiği kabul edilir) bölünerek derişimi, buradan da karışımın pH değeri bulunur.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2.17.</w:t>
      </w:r>
    </w:p>
    <w:p>
      <w:pPr>
        <w:jc w:val="both"/>
        <w:rPr>
          <w:rFonts w:ascii="Times New Roman" w:hAnsi="Times New Roman" w:cs="Times New Roman"/>
          <w:lang w:val="tr-TR"/>
        </w:rPr>
      </w:pPr>
      <w:r>
        <w:rPr>
          <w:rFonts w:ascii="Times New Roman" w:hAnsi="Times New Roman" w:cs="Times New Roman"/>
          <w:lang w:val="tr-TR"/>
        </w:rPr>
        <w:t xml:space="preserve">200 mL 0,20 M HCl çözeltisi ile 300 mL 0,10 M NaOH çözeltisi karıştırılıyor. Oluşan çözeltinin asidik mi bazik mi olduğunu belirleyerek pH değerini hesaplayınız. (Karışımın hacmi 500 mL kabul edilecektir.)</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perscript"/>
          <w:lang w:val="tr-TR"/>
        </w:rPr>
        <w:t xml:space="preserve">+</w:t>
      </w:r>
      <w:r>
        <w:rPr>
          <w:rFonts w:ascii="Times New Roman" w:hAnsi="Times New Roman" w:cs="Times New Roman"/>
          <w:lang w:val="tr-TR"/>
        </w:rPr>
        <w:t xml:space="preserve">) = 0,20 mol/L · 0,200 L = 0,040 mol        n(OH</w:t>
      </w:r>
      <w:r>
        <w:rPr>
          <w:rFonts w:ascii="Times New Roman" w:hAnsi="Times New Roman" w:cs="Times New Roman"/>
          <w:vertAlign w:val="superscript"/>
          <w:lang w:val="tr-TR"/>
        </w:rPr>
        <w:t xml:space="preserve">−</w:t>
      </w:r>
      <w:r>
        <w:rPr>
          <w:rFonts w:ascii="Times New Roman" w:hAnsi="Times New Roman" w:cs="Times New Roman"/>
          <w:lang w:val="tr-TR"/>
        </w:rPr>
        <w:t xml:space="preserve">) = 0,10 mol/L · 0,300 L = 0,030 mol</w:t>
      </w:r>
    </w:p>
    <w:p>
      <w:pPr>
        <w:jc w:val="both"/>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 tepkimesine göre 0,030 mol OH</w:t>
      </w:r>
      <w:r>
        <w:rPr>
          <w:rFonts w:ascii="Times New Roman" w:hAnsi="Times New Roman" w:cs="Times New Roman"/>
          <w:vertAlign w:val="superscript"/>
          <w:lang w:val="tr-TR"/>
        </w:rPr>
        <w:t xml:space="preserve">−</w:t>
      </w:r>
      <w:r>
        <w:rPr>
          <w:rFonts w:ascii="Times New Roman" w:hAnsi="Times New Roman" w:cs="Times New Roman"/>
          <w:lang w:val="tr-TR"/>
        </w:rPr>
        <w:t xml:space="preserve">, 0,030 mol H</w:t>
      </w:r>
      <w:r>
        <w:rPr>
          <w:rFonts w:ascii="Times New Roman" w:hAnsi="Times New Roman" w:cs="Times New Roman"/>
          <w:vertAlign w:val="superscript"/>
          <w:lang w:val="tr-TR"/>
        </w:rPr>
        <w:t xml:space="preserve">+</w:t>
      </w:r>
      <w:r>
        <w:rPr>
          <w:rFonts w:ascii="Times New Roman" w:hAnsi="Times New Roman" w:cs="Times New Roman"/>
          <w:lang w:val="tr-TR"/>
        </w:rPr>
        <w:t xml:space="preserve"> ile tepkimeye girer. Artan H</w:t>
      </w:r>
      <w:r>
        <w:rPr>
          <w:rFonts w:ascii="Times New Roman" w:hAnsi="Times New Roman" w:cs="Times New Roman"/>
          <w:vertAlign w:val="superscript"/>
          <w:lang w:val="tr-TR"/>
        </w:rPr>
        <w:t xml:space="preserve">+</w:t>
      </w:r>
      <w:r>
        <w:rPr>
          <w:rFonts w:ascii="Times New Roman" w:hAnsi="Times New Roman" w:cs="Times New Roman"/>
          <w:lang w:val="tr-TR"/>
        </w:rPr>
        <w:t xml:space="preserve"> = 0,040 − 0,030 = 0,010 mol. Karışım asidiktir.</w:t>
      </w:r>
    </w:p>
    <w:p>
      <w:pPr>
        <w:jc w:val="both"/>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perscript"/>
          <w:lang w:val="tr-TR"/>
        </w:rPr>
        <w:t xml:space="preserve">+</w:t>
      </w:r>
      <w:r>
        <w:rPr>
          <w:rFonts w:ascii="Times New Roman" w:hAnsi="Times New Roman" w:cs="Times New Roman"/>
          <w:lang w:val="tr-TR"/>
        </w:rPr>
        <w:t xml:space="preserve">] = 0,010 mol / 0,500 L = 0,020 mol/L        pH = −log(0,020) = 1,70</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2.18.</w:t>
      </w:r>
    </w:p>
    <w:p>
      <w:pPr>
        <w:jc w:val="both"/>
        <w:rPr>
          <w:rFonts w:ascii="Times New Roman" w:hAnsi="Times New Roman" w:cs="Times New Roman"/>
          <w:lang w:val="tr-TR"/>
        </w:rPr>
      </w:pPr>
      <w:r>
        <w:rPr>
          <w:rFonts w:ascii="Times New Roman" w:hAnsi="Times New Roman" w:cs="Times New Roman"/>
          <w:lang w:val="tr-TR"/>
        </w:rPr>
        <w:t xml:space="preserve">100 mL 0,10 M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çözeltisini tam olarak nötralleştirmek için 0,20 M NaOH çözeltisinden kaç mL gerekir?</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center"/>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(suda) + 2NaOH(suda) → Na</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(suda)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w:t>
      </w:r>
    </w:p>
    <w:p>
      <w:pPr>
        <w:jc w:val="both"/>
        <w:rPr>
          <w:rFonts w:ascii="Times New Roman" w:hAnsi="Times New Roman" w:cs="Times New Roman"/>
          <w:lang w:val="tr-TR"/>
        </w:rPr>
      </w:pPr>
      <w:r>
        <w:rPr>
          <w:rFonts w:ascii="Times New Roman" w:hAnsi="Times New Roman" w:cs="Times New Roman"/>
          <w:lang w:val="tr-TR"/>
        </w:rPr>
        <w:t xml:space="preserve">M</w:t>
      </w:r>
      <w:r>
        <w:rPr>
          <w:rFonts w:ascii="Times New Roman" w:hAnsi="Times New Roman" w:cs="Times New Roman"/>
          <w:vertAlign w:val="subscript"/>
          <w:lang w:val="tr-TR"/>
        </w:rPr>
        <w:t xml:space="preserve">a</w:t>
      </w:r>
      <w:r>
        <w:rPr>
          <w:rFonts w:ascii="Times New Roman" w:hAnsi="Times New Roman" w:cs="Times New Roman"/>
          <w:lang w:val="tr-TR"/>
        </w:rPr>
        <w:t xml:space="preserve"> · V</w:t>
      </w:r>
      <w:r>
        <w:rPr>
          <w:rFonts w:ascii="Times New Roman" w:hAnsi="Times New Roman" w:cs="Times New Roman"/>
          <w:vertAlign w:val="subscript"/>
          <w:lang w:val="tr-TR"/>
        </w:rPr>
        <w:t xml:space="preserve">a</w:t>
      </w:r>
      <w:r>
        <w:rPr>
          <w:rFonts w:ascii="Times New Roman" w:hAnsi="Times New Roman" w:cs="Times New Roman"/>
          <w:lang w:val="tr-TR"/>
        </w:rPr>
        <w:t xml:space="preserve"> · 2 = M</w:t>
      </w:r>
      <w:r>
        <w:rPr>
          <w:rFonts w:ascii="Times New Roman" w:hAnsi="Times New Roman" w:cs="Times New Roman"/>
          <w:vertAlign w:val="subscript"/>
          <w:lang w:val="tr-TR"/>
        </w:rPr>
        <w:t xml:space="preserve">b</w:t>
      </w:r>
      <w:r>
        <w:rPr>
          <w:rFonts w:ascii="Times New Roman" w:hAnsi="Times New Roman" w:cs="Times New Roman"/>
          <w:lang w:val="tr-TR"/>
        </w:rPr>
        <w:t xml:space="preserve"> · V</w:t>
      </w:r>
      <w:r>
        <w:rPr>
          <w:rFonts w:ascii="Times New Roman" w:hAnsi="Times New Roman" w:cs="Times New Roman"/>
          <w:vertAlign w:val="subscript"/>
          <w:lang w:val="tr-TR"/>
        </w:rPr>
        <w:t xml:space="preserve">b</w:t>
      </w:r>
      <w:r>
        <w:rPr>
          <w:rFonts w:ascii="Times New Roman" w:hAnsi="Times New Roman" w:cs="Times New Roman"/>
          <w:lang w:val="tr-TR"/>
        </w:rPr>
        <w:t xml:space="preserve"> · 1   ⟹   0,10 · 100 · 2 = 0,20 · V</w:t>
      </w:r>
      <w:r>
        <w:rPr>
          <w:rFonts w:ascii="Times New Roman" w:hAnsi="Times New Roman" w:cs="Times New Roman"/>
          <w:vertAlign w:val="subscript"/>
          <w:lang w:val="tr-TR"/>
        </w:rPr>
        <w:t xml:space="preserve">b</w:t>
      </w:r>
      <w:r>
        <w:rPr>
          <w:rFonts w:ascii="Times New Roman" w:hAnsi="Times New Roman" w:cs="Times New Roman"/>
          <w:lang w:val="tr-TR"/>
        </w:rPr>
        <w:t xml:space="preserve"> · 1   ⟹   V</w:t>
      </w:r>
      <w:r>
        <w:rPr>
          <w:rFonts w:ascii="Times New Roman" w:hAnsi="Times New Roman" w:cs="Times New Roman"/>
          <w:vertAlign w:val="subscript"/>
          <w:lang w:val="tr-TR"/>
        </w:rPr>
        <w:t xml:space="preserve">b</w:t>
      </w:r>
      <w:r>
        <w:rPr>
          <w:rFonts w:ascii="Times New Roman" w:hAnsi="Times New Roman" w:cs="Times New Roman"/>
          <w:lang w:val="tr-TR"/>
        </w:rPr>
        <w:t xml:space="preserve"> = 100 mL</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2.19.</w:t>
      </w:r>
    </w:p>
    <w:p>
      <w:pPr>
        <w:jc w:val="both"/>
        <w:rPr>
          <w:rFonts w:ascii="Times New Roman" w:hAnsi="Times New Roman" w:cs="Times New Roman"/>
          <w:lang w:val="tr-TR"/>
        </w:rPr>
      </w:pPr>
      <w:r>
        <w:rPr>
          <w:rFonts w:ascii="Times New Roman" w:hAnsi="Times New Roman" w:cs="Times New Roman"/>
          <w:lang w:val="tr-TR"/>
        </w:rPr>
        <w:t xml:space="preserve">4,0 g NaOH katısı ile tam olarak nötralleşen 0,50 M HCl çözeltisinin hacmini ve oluşan NaCl’nin kütlesini hesaplayınız. (NaOH: 40 g/mol, NaCl: 58,5 g/mol)</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n(NaOH) = 4,0 g / 40 g/mol = 0,10 mol. HCl + NaOH → NaCl + H</w:t>
      </w:r>
      <w:r>
        <w:rPr>
          <w:rFonts w:ascii="Times New Roman" w:hAnsi="Times New Roman" w:cs="Times New Roman"/>
          <w:vertAlign w:val="subscript"/>
          <w:lang w:val="tr-TR"/>
        </w:rPr>
        <w:t xml:space="preserve">2</w:t>
      </w:r>
      <w:r>
        <w:rPr>
          <w:rFonts w:ascii="Times New Roman" w:hAnsi="Times New Roman" w:cs="Times New Roman"/>
          <w:lang w:val="tr-TR"/>
        </w:rPr>
        <w:t xml:space="preserve">O tepkimesine göre 0,10 mol HCl gerekir.</w:t>
      </w:r>
    </w:p>
    <w:p>
      <w:pPr>
        <w:jc w:val="both"/>
        <w:rPr>
          <w:rFonts w:ascii="Times New Roman" w:hAnsi="Times New Roman" w:cs="Times New Roman"/>
          <w:lang w:val="tr-TR"/>
        </w:rPr>
      </w:pPr>
      <w:r>
        <w:rPr>
          <w:rFonts w:ascii="Times New Roman" w:hAnsi="Times New Roman" w:cs="Times New Roman"/>
          <w:lang w:val="tr-TR"/>
        </w:rPr>
        <w:t xml:space="preserve">V(HCl) = 0,10 mol / 0,50 mol/L = 0,20 L = 200 mL        m(NaCl) = 0,10 mol · 58,5 g/mol = 5,85 g</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2.10.</w:t>
      </w:r>
    </w:p>
    <w:p>
      <w:pPr>
        <w:jc w:val="both"/>
        <w:rPr>
          <w:rFonts w:ascii="Times New Roman" w:hAnsi="Times New Roman" w:cs="Times New Roman"/>
          <w:lang w:val="tr-TR"/>
        </w:rPr>
      </w:pPr>
      <w:r>
        <w:rPr>
          <w:rFonts w:ascii="Times New Roman" w:hAnsi="Times New Roman" w:cs="Times New Roman"/>
          <w:lang w:val="tr-TR"/>
        </w:rPr>
        <w:t xml:space="preserve">Aşağıdaki soruları yanıtlayınız.</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Çözüm alanları Kimya10 sayfa 64, Sıra Sizde 1.7.’deki çözüm alanlarından konsun.</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100 mL 0,10 M HNO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 ile 100 mL 0,10 M KOH çözeltisi karıştırılıyor. Tepkimenin molekül ve net iyon denklemlerini yazınız. Karışımın pH değerini ve seyirci iyonları belirleyiniz.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50 mL 0,40 M HCl çözeltisi ile 50 mL 0,20 M NaOH çözeltisi karıştırılıyor. Karışımın pH değerini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50 mL 0,20 M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çözeltisini tam olarak nötralleştirmek için kaç gram NaOH gerekir? (NaOH: 40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2,22 g Ca(OH)</w:t>
      </w:r>
      <w:r>
        <w:rPr>
          <w:rFonts w:ascii="Times New Roman" w:hAnsi="Times New Roman" w:cs="Times New Roman"/>
          <w:vertAlign w:val="subscript"/>
          <w:lang w:val="tr-TR"/>
        </w:rPr>
        <w:t xml:space="preserve">2</w:t>
      </w:r>
      <w:r>
        <w:rPr>
          <w:rFonts w:ascii="Times New Roman" w:hAnsi="Times New Roman" w:cs="Times New Roman"/>
          <w:lang w:val="tr-TR"/>
        </w:rPr>
        <w:t xml:space="preserve"> katısı ile tam olarak nötralleşen 0,30 M HCl çözeltisinin hacmi kaç mL’dir? (Ca(OH)</w:t>
      </w:r>
      <w:r>
        <w:rPr>
          <w:rFonts w:ascii="Times New Roman" w:hAnsi="Times New Roman" w:cs="Times New Roman"/>
          <w:vertAlign w:val="subscript"/>
          <w:lang w:val="tr-TR"/>
        </w:rPr>
        <w:t xml:space="preserve">2</w:t>
      </w:r>
      <w:r>
        <w:rPr>
          <w:rFonts w:ascii="Times New Roman" w:hAnsi="Times New Roman" w:cs="Times New Roman"/>
          <w:lang w:val="tr-TR"/>
        </w:rPr>
        <w:t xml:space="preserve">: 74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Kuvvetli bir bazın sulu çözeltisine kuvvetli bir asit çözeltisi damla damla eklenmektedir. Eklenen asit hacmine karşı çözeltinin pH’ı ve elektriksel iletkenliğinin nasıl değişeceğini gösteren grafikleri çiziniz ve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4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Kuvvetli asit ve kuvvetli baz çözeltileri karıştırıldığında gerçekleşen iletkenlik, pH ve indikatör renk değişimlerini gözlemleyebileceğiniz sanal laboratuvar uygulamasına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Sanal laboratuvar (Kim11.2.10)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(Kim11.2.10)</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Herring, Madura, Bissonnette, General Chemistry (asitler ve bazlar, sulu çözeltilerde denge bölümleri)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Analiz ve Keşif Atölyesi 2.10.’daki hazır veri setinde ve bilgi metnindeki HBr-KOH örneğinde (Grafik A) yer alan pH değerleri</w:t>
      </w:r>
      <w:r>
        <w:rPr>
          <w:rFonts w:ascii="Times New Roman" w:hAnsi="Times New Roman" w:cs="Times New Roman"/>
          <w:highlight w:val="yellow"/>
          <w:lang w:val="tr-TR"/>
        </w:rPr>
        <w:t xml:space="preserve"> tam nötralleşme hesabıyla, iletkenlik değerleri iyonların sonsuz seyreltiklikteki molar iletkenlikleri kullanılarak tarafımızca hesaplanmış yaklaşık değerlerdir; gerçek ölçümler biraz daha düşük çıkabilir.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