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(Görsel A). Ürünün içindeki asit ya da bazın derişimini belirlemek için derişimi tam olarak bilinen bir çözeltiyi büretten damla damla ekler ve çözeltinin rengi değiştiği anda eklemeyi durdurur (Görsel B).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24489" cy="1979999"/>
                  <wp:docPr id="900011" name="Picture 900011"/>
                  <wp:cNvGraphicFramePr>
                    <a:graphicFrameLocks noChangeAspect="1"/>
                  </wp:cNvGraphicFramePr>
                  <a:graphic>
                    <a:graphicData uri="http://schemas.openxmlformats.org/drawingml/2006/picture">
                      <pic:pic>
                        <pic:nvPicPr>
                          <pic:cNvPr id="0" name="2156027851_d.jpg"/>
                          <pic:cNvPicPr/>
                        </pic:nvPicPr>
                        <pic:blipFill>
                          <a:blip r:embed="rId11"/>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2156027851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Temizlik ürünlerinin kalite kontrolü</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Laboratuvarda titrasyon yapılması</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Ek uyarılar: Pipetle ağızla sıvı çekilmemeli, puar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2887700" cy="2520000"/>
            <wp:docPr id="900012" name="Picture 900012"/>
            <wp:cNvGraphicFramePr>
              <a:graphicFrameLocks noChangeAspect="1"/>
            </wp:cNvGraphicFramePr>
            <a:graphic>
              <a:graphicData uri="http://schemas.openxmlformats.org/drawingml/2006/picture">
                <pic:pic>
                  <pic:nvPicPr>
                    <pic:cNvPr id="0" name="1610704996_d.jpg"/>
                    <pic:cNvPicPr/>
                  </pic:nvPicPr>
                  <pic:blipFill>
                    <a:blip r:embed="rId12"/>
                    <a:stretch>
                      <a:fillRect/>
                    </a:stretch>
                  </pic:blipFill>
                  <pic:spPr>
                    <a:xfrm>
                      <a:off x="0" y="0"/>
                      <a:ext cx="28877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1610704996</w:t>
      </w: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3124206"/>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38354" cy="31242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