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TEMA-3: SÜRDÜRÜLEBİLİRLİK</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grup öğrenci sıcaklığın evsel atıklardan fermantasyonla gaz elde edilmesine etkisini araştırıyor. Eşit kütlede patates kabuğu, eşit hacimde su ve eşit miktarda mikroorganizma kültürü içeren üç şişeyi 15 °C, 30 °C ve 45 °C’deki ortamlarda karanlıkta bekletiyorlar. Üç gün sonra şişelerin ağzındaki balonlarda toplanan gaz hacimlerini ölçüyorlar.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Ortam sıcaklığı (°C)</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15</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30</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45</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Toplanan gaz hacmi (mL)</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1. Deneydeki bağımsız, bağımlı ve kontrol değişkenlerini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sıcaklık. Bağımlı: toplanan gaz hacmi. Kontrol: atık türü ve kütlesi, su hacmi, mikroorganizma kültürü miktarı, bekleme süresi, ışık koşulu, şişe hacmi.</w:t>
      </w:r>
    </w:p>
    <w:p>
      <w:pPr>
        <w:jc w:val="both"/>
        <w:rPr>
          <w:rFonts w:ascii="Times New Roman" w:hAnsi="Times New Roman" w:cs="Times New Roman"/>
          <w:lang w:val="tr-TR"/>
        </w:rPr>
      </w:pPr>
      <w:r>
        <w:rPr>
          <w:rFonts w:ascii="Times New Roman" w:hAnsi="Times New Roman" w:cs="Times New Roman"/>
          <w:lang w:val="tr-TR"/>
        </w:rPr>
        <w:t xml:space="preserve">2. Bir öğrenci “Sıcaklık arttıkça fermantasyonla elde edilen gaz miktarı her zaman artar.” diyor. Bu önermeyi deney verilerine dayanarak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veriye dayalı değildir. Gaz miktarı 15 °C’den 30 °C’ye çıkınca artmış, 45 °C’de ise azalmıştır. Mikroorganizmaların ve enzimlerinin en etkin çalıştığı bir sıcaklık aralığı vardır; çok yüksek sıcaklıkta enzimlerin yapısı bozulur ve mikroorganizmaların etkinliği azalır.</w:t>
      </w:r>
    </w:p>
    <w:p>
      <w:pPr>
        <w:jc w:val="both"/>
        <w:rPr>
          <w:rFonts w:ascii="Times New Roman" w:hAnsi="Times New Roman" w:cs="Times New Roman"/>
          <w:lang w:val="tr-TR"/>
        </w:rPr>
      </w:pPr>
      <w:r>
        <w:rPr>
          <w:rFonts w:ascii="Times New Roman" w:hAnsi="Times New Roman" w:cs="Times New Roman"/>
          <w:lang w:val="tr-TR"/>
        </w:rPr>
        <w:t xml:space="preserve">3. Toplanan gazın hidrojen içerip içermediğini anlamak için öğrenciler hangi ek bilgi ya da testlere ihtiyaç duyar?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Toplanan gaz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ve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gibi gazların karışımıdır. Öğretmen gözetiminde alev testi (hafif “pıt” sesi), kireç suyu ile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testi ya da gaz sensörleriyle bileşim belirlenebilir. Kullanılan mikroorganizma türü de hidrojen oluşumunu belirler.</w:t>
      </w:r>
    </w:p>
    <w:p>
      <w:pPr>
        <w:jc w:val="both"/>
        <w:rPr>
          <w:rFonts w:ascii="Times New Roman" w:hAnsi="Times New Roman" w:cs="Times New Roman"/>
          <w:lang w:val="tr-TR"/>
        </w:rPr>
      </w:pPr>
      <w:r>
        <w:rPr>
          <w:rFonts w:ascii="Times New Roman" w:hAnsi="Times New Roman" w:cs="Times New Roman"/>
          <w:lang w:val="tr-TR"/>
        </w:rPr>
        <w:t xml:space="preserve">4. Glikozun fermantasyonu ve hidrojenin yanması aşağıdaki denklemlerle gösterilmiştir.</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 2CH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+ 2CO</w:t>
      </w:r>
      <w:r>
        <w:rPr>
          <w:rFonts w:ascii="Times New Roman" w:hAnsi="Times New Roman" w:cs="Times New Roman"/>
          <w:vertAlign w:val="subscript"/>
          <w:lang w:val="tr-TR"/>
        </w:rPr>
        <w:t xml:space="preserve">2</w:t>
      </w:r>
      <w:r>
        <w:rPr>
          <w:rFonts w:ascii="Times New Roman" w:hAnsi="Times New Roman" w:cs="Times New Roman"/>
          <w:lang w:val="tr-TR"/>
        </w:rPr>
        <w:t xml:space="preserve"> + 4H</w:t>
      </w:r>
      <w:r>
        <w:rPr>
          <w:rFonts w:ascii="Times New Roman" w:hAnsi="Times New Roman" w:cs="Times New Roman"/>
          <w:vertAlign w:val="subscript"/>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−571,6 kJ</w:t>
      </w:r>
    </w:p>
    <w:p>
      <w:pPr>
        <w:jc w:val="both"/>
        <w:rPr>
          <w:rFonts w:ascii="Times New Roman" w:hAnsi="Times New Roman" w:cs="Times New Roman"/>
          <w:lang w:val="tr-TR"/>
        </w:rPr>
      </w:pPr>
      <w:r>
        <w:rPr>
          <w:rFonts w:ascii="Times New Roman" w:hAnsi="Times New Roman" w:cs="Times New Roman"/>
          <w:lang w:val="tr-TR"/>
        </w:rPr>
        <w:t xml:space="preserve">180 g glikozun fermantasyonu sonucu oluşan hidrojenin tamamen yanmasıyla açığa çıkan enerjiyi hesaplayınız. Bu değeri 180 g glikozun doğrudan yanmasıyla açığa çıkan 2803 kJ enerji ile karşılaştırarak fermantasyonla hidrojen üretiminin tercih edilme nedenlerini tartışınız.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180 g = 1 mol glikoz → 4 mol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4 mol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yanınca 2·571,6 = 1143,2 kJ açığa çıkar. Bu değer doğrudan yanmadan elde edilenden azdır (≈ %41). Ancak fermantasyonda değerlendirilemeyen evsel atıklar kullanılır, atık miktarı azalır, hidrojen depolanıp taşınabilen ve yanınca yalnızca su oluşturan temiz bir yakıttır; yan ürünler (asetik asit vb.) başka süreçlerde kullanılabilir.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5-8.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Bazı güneş kremlerinde UV ışınlarını engellemek için nano boyutlu titanyum dioksit (TiO</w:t>
      </w:r>
      <w:r>
        <w:rPr>
          <w:rFonts w:ascii="Times New Roman" w:hAnsi="Times New Roman" w:cs="Times New Roman"/>
          <w:vertAlign w:val="subscript"/>
          <w:lang w:val="tr-TR"/>
        </w:rPr>
        <w:t xml:space="preserve">2</w:t>
      </w:r>
      <w:r>
        <w:rPr>
          <w:rFonts w:ascii="Times New Roman" w:hAnsi="Times New Roman" w:cs="Times New Roman"/>
          <w:lang w:val="tr-TR"/>
        </w:rPr>
        <w:t xml:space="preserve">) ve çinko oksit (ZnO) parçacıkları kullanılır. Bu parçacıklar iri boyutlu olduklarında ciltte beyaz bir tabaka bırakırken nano boyutta cilt üzerinde şeffaf görünür. Bazı araştırmacılar sprey şeklindeki kremlerin solunabileceğini ve denizlere karışan nanoparçacıkların su canlılarını etkileyebileceğini belirtmektedir.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Sahilde eline güneş kremi süren kişi ya da güneş kremi tüpü.</w:t>
            </w:r>
          </w:p>
          <w:p>
            <w:pPr>
              <w:jc w:val="both"/>
              <w:rPr>
                <w:rFonts w:ascii="Times New Roman" w:hAnsi="Times New Roman" w:cs="Times New Roman"/>
                <w:lang w:val="tr-TR"/>
              </w:rPr>
            </w:pPr>
            <w:r>
              <w:rPr>
                <w:rFonts w:ascii="Times New Roman" w:hAnsi="Times New Roman" w:cs="Times New Roman"/>
                <w:lang w:val="tr-TR"/>
              </w:rPr>
              <w:t xml:space="preserve">Shutter ID: 2732076933 (fotoğraf) — Woman applies sunscreen to her arm outdoors, orange tube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Güneş kremi</w:t>
      </w:r>
    </w:p>
    <w:p>
      <w:pPr>
        <w:jc w:val="both"/>
        <w:rPr>
          <w:rFonts w:ascii="Times New Roman" w:hAnsi="Times New Roman" w:cs="Times New Roman"/>
          <w:lang w:val="tr-TR"/>
        </w:rPr>
      </w:pPr>
      <w:r>
        <w:rPr>
          <w:rFonts w:ascii="Times New Roman" w:hAnsi="Times New Roman" w:cs="Times New Roman"/>
          <w:lang w:val="tr-TR"/>
        </w:rPr>
        <w:t xml:space="preserve">5. Kenar uzunluğu 1 µm olan küp şeklindeki bir ZnO parçacığı, kenar uzunluğu 10 nm olan küplere bölünürse kaç küp elde edilir ve toplam yüzey alanı kaç katına çıkar? Sonucu nanoparçacıkların etkinliğiyle ilişkilendiriniz. (1 µm = 1000 nm)</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Küp sayısı (1000/10)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 her birinin yüzey alanı 6·(10 nm)</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600 nm</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toplam 6·10</w:t>
      </w:r>
      <w:r>
        <w:rPr>
          <w:rFonts w:ascii="Times New Roman" w:hAnsi="Times New Roman" w:cs="Times New Roman"/>
          <w:color w:val="FF0000"/>
          <w:vertAlign w:val="superscript"/>
          <w:lang w:val="tr-TR"/>
        </w:rPr>
        <w:t xml:space="preserve">8</w:t>
      </w:r>
      <w:r>
        <w:rPr>
          <w:rFonts w:ascii="Times New Roman" w:hAnsi="Times New Roman" w:cs="Times New Roman"/>
          <w:color w:val="FF0000"/>
          <w:lang w:val="tr-TR"/>
        </w:rPr>
        <w:t xml:space="preserve"> nm</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İlk yüzey alanı 6·(1000 nm)</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6·10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 nm</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olduğundan yüzey alanı 100 kat artar. Yüzey atomlarının oranı arttığı için nanoparçacıklar daha etkin (tepkimeye yatkın, ışıkla daha farklı etkileşen) olur.</w:t>
      </w:r>
    </w:p>
    <w:p>
      <w:pPr>
        <w:jc w:val="both"/>
        <w:rPr>
          <w:rFonts w:ascii="Times New Roman" w:hAnsi="Times New Roman" w:cs="Times New Roman"/>
          <w:lang w:val="tr-TR"/>
        </w:rPr>
      </w:pPr>
      <w:r>
        <w:rPr>
          <w:rFonts w:ascii="Times New Roman" w:hAnsi="Times New Roman" w:cs="Times New Roman"/>
          <w:lang w:val="tr-TR"/>
        </w:rPr>
        <w:t xml:space="preserve">6. Aşağıdaki ifadelerin nano boyutlu güneş kremleri için potansiyel bir fayda mı yoksa olası bir zarar mı olduğunu tabloda “✓” ile işaretleyiniz.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1500"/>
        <w:gridCol w:w="15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İfade</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Potansiyel fayda</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Olası zarar</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Ciltte beyaz iz bırakmadığı için daha düzenli kullanılır.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Sprey ürünlerdeki nanoparçacıklar solunabilir.</w:t>
            </w: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Daha az madde ile geniş yüzey kaplanarak UV ışınları engellenir.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Denize karışan nanoparçacıklar su canlılarını etkileyebilir.</w:t>
            </w: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Cilt kanserine neden olan UV ışınlarına karşı koruma sağlar.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7. “Nanoteknolojik ürünlerin etiketlerinde nanomalzeme içerdiklerinin belirtilmesi zorunlu olmalıdır.” görüşünü etik ve güvenlik açılarından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Tüketicinin bilgilendirilmiş seçim yapma hakkı vardır (etik). Olası risklerin izlenmesi, hassas grupların (bebek, hamile, alerjik kişiler) korunması ve doğru kullanım talimatları için etiketleme gereklidir (güvenlik). Etiketleme, üreticiyi sorumlu üretime yönlendirir.</w:t>
      </w:r>
    </w:p>
    <w:p>
      <w:pPr>
        <w:jc w:val="both"/>
        <w:rPr>
          <w:rFonts w:ascii="Times New Roman" w:hAnsi="Times New Roman" w:cs="Times New Roman"/>
          <w:lang w:val="tr-TR"/>
        </w:rPr>
      </w:pPr>
      <w:r>
        <w:rPr>
          <w:rFonts w:ascii="Times New Roman" w:hAnsi="Times New Roman" w:cs="Times New Roman"/>
          <w:lang w:val="tr-TR"/>
        </w:rPr>
        <w:t xml:space="preserve">8. Nanoteknolojik bir ürün satın alırken dikkate alacağınız üç ölçütü sağlık, güvenlik ve sürdürülebilirlik açısından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Sağlık: ürünün cilt/solunum yoluyla vücuda geçme riskine ilişkin bilimsel çalışmaların ve izinlerin bulunması. Güvenlik: etikette nanomalzemenin türü ve kullanım uyarılarının yer alması; sprey yerine krem tercih edilmesi. Sürdürülebilirlik: ürünün çevreye etkisi, atık hâline geldiğinde nanoparçacıkların doğaya karışma riski, ürün ömrü.</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9-12.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sosyal medyada “Şişe sularında mikroplastik bulundu! Şişe suyu içen herkes zehirleniyor!” başlıklı bir paylaşım görüyor. Paylaşımda herhangi bir kaynak belirtilmemiştir. Öğrenci konuyu araştırmaya karar veriyor.</w:t>
      </w:r>
    </w:p>
    <w:p>
      <w:pPr>
        <w:jc w:val="both"/>
        <w:rPr>
          <w:rFonts w:ascii="Times New Roman" w:hAnsi="Times New Roman" w:cs="Times New Roman"/>
          <w:lang w:val="tr-TR"/>
        </w:rPr>
      </w:pPr>
      <w:r>
        <w:rPr>
          <w:rFonts w:ascii="Times New Roman" w:hAnsi="Times New Roman" w:cs="Times New Roman"/>
          <w:lang w:val="tr-TR"/>
        </w:rPr>
        <w:t xml:space="preserve">9. Öğrencinin bu paylaşımdaki bilginin doğruluğunu değerlendirirken kullanabileceği üç ölçüt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Bilginin kaynağının belirtilmesi ve güvenilir olması (hakemli dergi, resmî kurum, üniversite); bilginin en az iki bağımsız kaynakla doğrulanması; verilerin (ölçüm yöntemi, örnek sayısı, tarih) açıkça sunulması; başlığın abartılı ve korku yaratan dil içermemesi.</w:t>
      </w:r>
    </w:p>
    <w:p>
      <w:pPr>
        <w:jc w:val="both"/>
        <w:rPr>
          <w:rFonts w:ascii="Times New Roman" w:hAnsi="Times New Roman" w:cs="Times New Roman"/>
          <w:lang w:val="tr-TR"/>
        </w:rPr>
      </w:pPr>
      <w:r>
        <w:rPr>
          <w:rFonts w:ascii="Times New Roman" w:hAnsi="Times New Roman" w:cs="Times New Roman"/>
          <w:lang w:val="tr-TR"/>
        </w:rPr>
        <w:t xml:space="preserve">10. Mikroplastiklerle ilgili aşağıdaki alanlara yönelik birer araştırma sorusu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6400"/>
      </w:tblGrid>
      <w:tr>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Alan</w:t>
            </w:r>
          </w:p>
        </w:tc>
        <w:tc>
          <w:tcPr>
            <w:tcW w:w="6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Araştırma sorusu</w:t>
            </w:r>
          </w:p>
        </w:tc>
      </w:tr>
      <w:tr>
        <w:trPr>
          <w:trHeight w:val="70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Gıda</w:t>
            </w:r>
          </w:p>
        </w:tc>
        <w:tc>
          <w:tcPr>
            <w:tcW w:w="6400" w:type="dxa"/>
            <w:vAlign w:val="center"/>
          </w:tcPr>
          <w:p>
            <w:pPr>
              <w:jc w:val="left"/>
              <w:rPr>
                <w:rFonts w:ascii="Times New Roman" w:hAnsi="Times New Roman" w:cs="Times New Roman"/>
                <w:lang w:val="tr-TR"/>
              </w:rPr>
            </w:pPr>
          </w:p>
        </w:tc>
      </w:tr>
      <w:tr>
        <w:trPr>
          <w:trHeight w:val="70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Sağlık</w:t>
            </w:r>
          </w:p>
        </w:tc>
        <w:tc>
          <w:tcPr>
            <w:tcW w:w="6400" w:type="dxa"/>
            <w:vAlign w:val="center"/>
          </w:tcPr>
          <w:p>
            <w:pPr>
              <w:jc w:val="left"/>
              <w:rPr>
                <w:rFonts w:ascii="Times New Roman" w:hAnsi="Times New Roman" w:cs="Times New Roman"/>
                <w:lang w:val="tr-TR"/>
              </w:rPr>
            </w:pPr>
          </w:p>
        </w:tc>
      </w:tr>
      <w:tr>
        <w:trPr>
          <w:trHeight w:val="70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Kozmetik ve kişisel bakım</w:t>
            </w:r>
          </w:p>
        </w:tc>
        <w:tc>
          <w:tcPr>
            <w:tcW w:w="64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Gıda: Deniz ürünlerinde bulunan mikroplastik miktarı balığın türüne göre nasıl değişir? Sağlık: Solunan nanoplastikler akciğer hücrelerini nasıl etkiler? Kozmetik: Mikroboncuk içeren ürünlerin yasaklanması atık sulardaki mikroplastik miktarını nasıl etkiler?</w:t>
      </w:r>
    </w:p>
    <w:p>
      <w:pPr>
        <w:jc w:val="both"/>
        <w:rPr>
          <w:rFonts w:ascii="Times New Roman" w:hAnsi="Times New Roman" w:cs="Times New Roman"/>
          <w:lang w:val="tr-TR"/>
        </w:rPr>
      </w:pPr>
      <w:r>
        <w:rPr>
          <w:rFonts w:ascii="Times New Roman" w:hAnsi="Times New Roman" w:cs="Times New Roman"/>
          <w:lang w:val="tr-TR"/>
        </w:rPr>
        <w:t xml:space="preserve">11. Aşağıdakilerden hangisi birincil mikroplastiğe örnektir?</w:t>
      </w:r>
    </w:p>
    <w:p>
      <w:pPr>
        <w:ind w:left="720"/>
        <w:jc w:val="both"/>
        <w:rPr>
          <w:rFonts w:ascii="Times New Roman" w:hAnsi="Times New Roman" w:cs="Times New Roman"/>
          <w:lang w:val="tr-TR"/>
        </w:rPr>
      </w:pPr>
      <w:r>
        <w:rPr>
          <w:rFonts w:ascii="Times New Roman" w:hAnsi="Times New Roman" w:cs="Times New Roman"/>
          <w:lang w:val="tr-TR"/>
        </w:rPr>
        <w:t xml:space="preserve">A) Güneşte parçalanan plastik şişe parçacıkları</w:t>
      </w:r>
    </w:p>
    <w:p>
      <w:pPr>
        <w:ind w:left="720"/>
        <w:jc w:val="both"/>
        <w:rPr>
          <w:rFonts w:ascii="Times New Roman" w:hAnsi="Times New Roman" w:cs="Times New Roman"/>
          <w:lang w:val="tr-TR"/>
        </w:rPr>
      </w:pPr>
      <w:r>
        <w:rPr>
          <w:rFonts w:ascii="Times New Roman" w:hAnsi="Times New Roman" w:cs="Times New Roman"/>
          <w:lang w:val="tr-TR"/>
        </w:rPr>
        <w:t xml:space="preserve">B) Kıyıya vuran plastik poşetlerin ufalanmasıyla oluşan parçacıklar</w:t>
      </w:r>
    </w:p>
    <w:p>
      <w:pPr>
        <w:ind w:left="720"/>
        <w:jc w:val="both"/>
        <w:rPr>
          <w:rFonts w:ascii="Times New Roman" w:hAnsi="Times New Roman" w:cs="Times New Roman"/>
          <w:lang w:val="tr-TR"/>
        </w:rPr>
      </w:pPr>
      <w:r>
        <w:rPr>
          <w:rFonts w:ascii="Times New Roman" w:hAnsi="Times New Roman" w:cs="Times New Roman"/>
          <w:lang w:val="tr-TR"/>
        </w:rPr>
        <w:t xml:space="preserve">C) Bazı peeling ürünlerine eklenen mikroboncuklar</w:t>
      </w:r>
    </w:p>
    <w:p>
      <w:pPr>
        <w:ind w:left="720"/>
        <w:jc w:val="both"/>
        <w:rPr>
          <w:rFonts w:ascii="Times New Roman" w:hAnsi="Times New Roman" w:cs="Times New Roman"/>
          <w:lang w:val="tr-TR"/>
        </w:rPr>
      </w:pPr>
      <w:r>
        <w:rPr>
          <w:rFonts w:ascii="Times New Roman" w:hAnsi="Times New Roman" w:cs="Times New Roman"/>
          <w:lang w:val="tr-TR"/>
        </w:rPr>
        <w:t xml:space="preserve">D) Tarlada kalan plastik örtülerin güneşte parçalanmasıyla oluşan parçalar</w:t>
      </w:r>
    </w:p>
    <w:p>
      <w:pPr>
        <w:ind w:left="720"/>
        <w:jc w:val="both"/>
        <w:rPr>
          <w:rFonts w:ascii="Times New Roman" w:hAnsi="Times New Roman" w:cs="Times New Roman"/>
          <w:lang w:val="tr-TR"/>
        </w:rPr>
      </w:pPr>
      <w:r>
        <w:rPr>
          <w:rFonts w:ascii="Times New Roman" w:hAnsi="Times New Roman" w:cs="Times New Roman"/>
          <w:lang w:val="tr-TR"/>
        </w:rPr>
        <w:t xml:space="preserve">E) Denizde parçalanan balık ağlarından kopan parçalar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12. Mikroplastiklerin malzeme bilimi ve enerji alanlarıyla ilişkisini birer örnekle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Malzeme bilimi: Biyobozunur polimerlerin ve daha az parçalanan dayanıklı malzemelerin geliştirilmesi; mikroplastik tutan filtreler. Enerji: Plastik üretimi fosil yakıtlara bağlıdır; atık plastiklerin geri dönüştürülmesi ya da enerji eldesinde kullanılması hem enerji tasarrufu sağlar hem de mikroplastik oluşumunu azaltır.</w:t>
      </w:r>
    </w:p>
    <w:p>
      <w:pPr>
        <w:jc w:val="both"/>
        <w:rPr>
          <w:rFonts w:ascii="Times New Roman" w:hAnsi="Times New Roman" w:cs="Times New Roman"/>
          <w:lang w:val="tr-TR"/>
        </w:rPr>
      </w:pPr>
      <w:r>
        <w:rPr>
          <w:rFonts w:ascii="Times New Roman" w:hAnsi="Times New Roman" w:cs="Times New Roman"/>
          <w:lang w:val="tr-TR"/>
        </w:rPr>
        <w:t xml:space="preserve">13. Okulunuzda düzenlenecek “Sürdürülebilirlik Haftası” için yeşil hidrojen, nanoteknolojik ürünler ve mikroplastikler konularının her biriyle ilgili okulda uygulanabilecek birer eylem önerisi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Yeşil hidrojen: Kantin atıklarının ayrı toplanıp kompost/fermantasyon projesinde değerlendirilmesi. Nanoteknoloji: Nano ürün etiketlerini inceleyen bir “bilinçli tüketici” panosu hazırlanması. Mikroplastik: Tek kullanımlık plastik bardak ve pipet yerine yeniden kullanılabilir ürünlerin tercih edilmesi kampanyası.</w:t>
      </w:r>
    </w:p>
    <w:p>
      <w:pPr>
        <w:jc w:val="both"/>
        <w:rPr>
          <w:rFonts w:ascii="Times New Roman" w:hAnsi="Times New Roman" w:cs="Times New Roman"/>
          <w:lang w:val="tr-TR"/>
        </w:rPr>
      </w:pPr>
      <w:r>
        <w:rPr>
          <w:rFonts w:ascii="Times New Roman" w:hAnsi="Times New Roman" w:cs="Times New Roman"/>
          <w:lang w:val="tr-TR"/>
        </w:rPr>
        <w:t xml:space="preserve">14. Aşağıdaki yapılandırılmış gridde bazı süreçler ve ürünler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Mutfak atıklarının karanlık fermantasyonu</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Gümüş nanoparçacıklı spor çorabı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Çöpe atılan plastik maskelerin güneş ışığıyla parçalanması</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Titanyum dioksit nanokaplamalı kendi kendini temizleyen cam</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Diş macununa eklenen plastik mikroboncuklar</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Rüzgâr enerjisiyle elde edilen elektrikle suyun elektrolizi</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Nano çinko oksitli güneş kremi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Denizdeki pet şişelerin dalga ve güneş etkisiyle parçalanması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Doğal gazdan hidrojen üretimi</w:t>
            </w:r>
          </w:p>
        </w:tc>
      </w:tr>
    </w:tbl>
    <w:p>
      <w:pPr>
        <w:jc w:val="both"/>
        <w:rPr>
          <w:rFonts w:ascii="Times New Roman" w:hAnsi="Times New Roman" w:cs="Times New Roman"/>
          <w:lang w:val="tr-TR"/>
        </w:rPr>
      </w:pPr>
      <w:r>
        <w:rPr>
          <w:rFonts w:ascii="Times New Roman" w:hAnsi="Times New Roman" w:cs="Times New Roman"/>
          <w:lang w:val="tr-TR"/>
        </w:rPr>
        <w:t xml:space="preserve">a. Yeşil hidrojen elde etme yöntemleri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 Yeşil hidrojen olarak kabul edilmeyen hidrojen üretimi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c. Nanoteknolojik ürünler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ç. Birincil mikroplastik kaynağı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 İkincil mikroplastik oluşumuna yol açan süreçler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1, 6  b. 9  c. 2, 4, 7  ç. 5  d. 3, 8</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