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p>
      <w:pPr>
        <w:jc w:val="center"/>
      </w:pPr>
      <w:r>
        <w:drawing>
          <wp:inline xmlns:a="http://schemas.openxmlformats.org/drawingml/2006/main" xmlns:pic="http://schemas.openxmlformats.org/drawingml/2006/picture">
            <wp:extent cx="2825112" cy="2520000"/>
            <wp:docPr id="1" name="Picture 1"/>
            <wp:cNvGraphicFramePr>
              <a:graphicFrameLocks noChangeAspect="1"/>
            </wp:cNvGraphicFramePr>
            <a:graphic>
              <a:graphicData uri="http://schemas.openxmlformats.org/drawingml/2006/picture">
                <pic:pic>
                  <pic:nvPicPr>
                    <pic:cNvPr id="0" name="1950982039_d.jpg"/>
                    <pic:cNvPicPr/>
                  </pic:nvPicPr>
                  <pic:blipFill>
                    <a:blip r:embed="rId11"/>
                    <a:stretch>
                      <a:fillRect/>
                    </a:stretch>
                  </pic:blipFill>
                  <pic:spPr>
                    <a:xfrm>
                      <a:off x="0" y="0"/>
                      <a:ext cx="282511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1950982039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