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9DCE0F9">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Bir parça katı parafine kibrit alevi tutulduğunda parafin hemen tutuşmaz; mumun fitilinde eriyip buhar hâline geçen parafin ise alevle hızla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Su ısıtıcısındaki kireç tabakası seyreltilmemiş sirkeyle, suyla seyreltilmiş sirkeye göre daha kısa sürede temizlenir.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00000000"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lastRenderedPageBreak/>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Hidrojen peroksit (oksijenli su) yaraya döküldüğünde köpürür.</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faktörün tepkime hızına etkisini araştırmak için grup arkadaşlarınızla bir deney planlayınız. Görev ve sorumluluklarınızı yerine getirmek için bir yol haritası çiziniz ve hazırladığınız planı uygulayınız. Deney planınızı oluştururken aşağıda verilen önerilerden yararlanabilir ya da kendi deney düzeneklerinizi tasarlayabilirsiniz.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26BBE561" w14:textId="77777777">
        <w:trPr>
          <w:jc w:val="center"/>
        </w:trPr>
        <w:tc>
          <w:tcPr>
            <w:tcW w:w="9000" w:type="dxa"/>
            <w:shd w:val="clear" w:color="auto" w:fill="E2EFDA"/>
          </w:tcPr>
          <w:p w14:paraId="2C1D805C"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lastRenderedPageBreak/>
              <w:t>Deney önerileri</w:t>
            </w:r>
          </w:p>
          <w:p w14:paraId="02D20AB0"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cinsi:</w:t>
            </w:r>
            <w:r>
              <w:rPr>
                <w:rFonts w:ascii="Times New Roman" w:hAnsi="Times New Roman" w:cs="Times New Roman"/>
                <w:lang w:val="tr-TR"/>
              </w:rPr>
              <w:t xml:space="preserve"> Aynı boyutta kesilmiş magnezyum, çinko ve bakır şeritleri, aynı derişimdeki (1 M) hidroklorik asit çözeltisi bulunan üç ayrı deney tüpüne bırakınız. Gaz kabarcıklarının çıkış hızını gözlemleyiniz.</w:t>
            </w:r>
          </w:p>
          <w:p w14:paraId="4EF0BD6E"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Fiziksel hâl:</w:t>
            </w:r>
            <w:r>
              <w:rPr>
                <w:rFonts w:ascii="Times New Roman" w:hAnsi="Times New Roman" w:cs="Times New Roman"/>
                <w:lang w:val="tr-TR"/>
              </w:rPr>
              <w:t xml:space="preserve"> Bir beherde bir çay kaşığı kabartma tozu (sodyum bikarbonat) ile bir çay kaşığı limon tuzunu (sitrik asit) katı hâlde karıştırınız. Ardından aynı miktarları ayrı ayrı suda çözüp çözeltileri karıştırınız. Gaz çıkışını karşılaştırınız.</w:t>
            </w:r>
          </w:p>
          <w:p w14:paraId="04A00759"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Tepken derişimi:</w:t>
            </w:r>
            <w:r>
              <w:rPr>
                <w:rFonts w:ascii="Times New Roman" w:hAnsi="Times New Roman" w:cs="Times New Roman"/>
                <w:lang w:val="tr-TR"/>
              </w:rPr>
              <w:t xml:space="preserve"> Sodyum tiyosülfat çözeltisinin farklı derişimlerdeki örneklerine eşit hacimde hidroklorik asit ekleyiniz. Beherin altına kâğıda çizilmiş “X” işaretinin bulanıklık nedeniyle görünmez olduğu süreyi ölçünüz. (Tepkimede SO</w:t>
            </w:r>
            <w:r>
              <w:rPr>
                <w:rFonts w:ascii="Times New Roman" w:hAnsi="Times New Roman" w:cs="Times New Roman"/>
                <w:vertAlign w:val="subscript"/>
                <w:lang w:val="tr-TR"/>
              </w:rPr>
              <w:t>2</w:t>
            </w:r>
            <w:r>
              <w:rPr>
                <w:rFonts w:ascii="Times New Roman" w:hAnsi="Times New Roman" w:cs="Times New Roman"/>
                <w:lang w:val="tr-TR"/>
              </w:rPr>
              <w:t xml:space="preserve"> gazı oluştuğu için deneyi iyi havalandırılan bir ortamda yapınız.)</w:t>
            </w:r>
          </w:p>
          <w:p w14:paraId="0A469868"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Sıcaklık:</w:t>
            </w:r>
            <w:r>
              <w:rPr>
                <w:rFonts w:ascii="Times New Roman" w:hAnsi="Times New Roman" w:cs="Times New Roman"/>
                <w:lang w:val="tr-TR"/>
              </w:rPr>
              <w:t xml:space="preserve"> Eşit hacimde soğuk (yaklaşık 10 °C), oda sıcaklığında (yaklaşık 25 °C) ve ılık (yaklaşık 50 °C) su bulunan üç bardağa birer efervesan tablet atınız. Tabletlerin tamamen tükenme sürelerini ölçünüz.</w:t>
            </w:r>
          </w:p>
          <w:p w14:paraId="515194AA"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Katı tepkenin temas yüzeyi:</w:t>
            </w:r>
            <w:r>
              <w:rPr>
                <w:rFonts w:ascii="Times New Roman" w:hAnsi="Times New Roman" w:cs="Times New Roman"/>
                <w:lang w:val="tr-TR"/>
              </w:rPr>
              <w:t xml:space="preserve"> Eşit hacimde ve aynı sıcaklıkta su bulunan iki bardaktan birine bütün bir efervesan tablet, diğerine havanda toz hâline getirilmiş bir efervesan tablet ekleyiniz. Tepkimenin tamamlanma sürelerini karşılaştırınız.</w:t>
            </w:r>
          </w:p>
          <w:p w14:paraId="41C11127"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Katalizör:</w:t>
            </w:r>
            <w:r>
              <w:rPr>
                <w:rFonts w:ascii="Times New Roman" w:hAnsi="Times New Roman" w:cs="Times New Roman"/>
                <w:lang w:val="tr-TR"/>
              </w:rPr>
              <w:t xml:space="preserve"> Eşit hacimde %3’lük hidrojen peroksit çözeltisi bulunan iki deney tüpünden birine bir miktar kuru maya ya da çiğ patates dilimi ekleyiniz. Gaz çıkışını gözlemleyiniz ve tüpün ağzına kor hâlindeki bir kıymık yaklaştırınız.</w:t>
            </w:r>
          </w:p>
        </w:tc>
      </w:tr>
    </w:tbl>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Her faktör için gerçekleştirdiğiniz deneyi aşağıdaki deney planına göre yazınız.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 xml:space="preserve">(suda) → AgCl(k) gibi) </w:t>
      </w:r>
      <w:r>
        <w:rPr>
          <w:rFonts w:ascii="Times New Roman" w:hAnsi="Times New Roman" w:cs="Times New Roman"/>
          <w:lang w:val="tr-TR"/>
        </w:rPr>
        <w:lastRenderedPageBreak/>
        <w:t>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w:t>
      </w:r>
      <w:r>
        <w:rPr>
          <w:rFonts w:ascii="Times New Roman" w:hAnsi="Times New Roman" w:cs="Times New Roman"/>
          <w:lang w:val="tr-TR"/>
        </w:rPr>
        <w:lastRenderedPageBreak/>
        <w:t>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FD205D" w14:textId="77777777" w:rsidR="00797AF3" w:rsidRDefault="00797AF3" w:rsidP="009A5D82">
      <w:pPr>
        <w:spacing w:after="0" w:line="240" w:lineRule="auto"/>
      </w:pPr>
      <w:r>
        <w:separator/>
      </w:r>
    </w:p>
  </w:endnote>
  <w:endnote w:type="continuationSeparator" w:id="0">
    <w:p w14:paraId="346BDC4B" w14:textId="77777777" w:rsidR="00797AF3" w:rsidRDefault="00797AF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CDDB16" w14:textId="77777777" w:rsidR="00797AF3" w:rsidRDefault="00797AF3" w:rsidP="009A5D82">
      <w:pPr>
        <w:spacing w:after="0" w:line="240" w:lineRule="auto"/>
      </w:pPr>
      <w:r>
        <w:separator/>
      </w:r>
    </w:p>
  </w:footnote>
  <w:footnote w:type="continuationSeparator" w:id="0">
    <w:p w14:paraId="3E70FCBA" w14:textId="77777777" w:rsidR="00797AF3" w:rsidRDefault="00797AF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17</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980</cp:revision>
  <dcterms:created xsi:type="dcterms:W3CDTF">2024-08-03T20:14:00Z</dcterms:created>
  <dcterms:modified xsi:type="dcterms:W3CDTF">2026-10-24T19:42:00Z</dcterms:modified>
</cp:coreProperties>
</file>