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1.Bölüm: Nanoteknoloji ve Sürdürülebilirlik</w:t>
      </w:r>
    </w:p>
    <w:p>
      <w:pPr>
        <w:jc w:val="both"/>
        <w:rPr>
          <w:rFonts w:ascii="Times New Roman" w:hAnsi="Times New Roman" w:cs="Times New Roman"/>
          <w:b/>
          <w:bCs/>
          <w:lang w:val="tr-TR"/>
        </w:rPr>
      </w:pPr>
      <w:r>
        <w:rPr>
          <w:rFonts w:ascii="Times New Roman" w:hAnsi="Times New Roman" w:cs="Times New Roman"/>
          <w:b/>
          <w:bCs/>
          <w:lang w:val="tr-TR"/>
        </w:rPr>
        <w:t xml:space="preserve">ÖZET</w:t>
      </w:r>
    </w:p>
    <w:p>
      <w:pPr>
        <w:jc w:val="both"/>
        <w:rPr>
          <w:rFonts w:ascii="Times New Roman" w:hAnsi="Times New Roman" w:cs="Times New Roman"/>
          <w:lang w:val="tr-TR"/>
        </w:rPr>
      </w:pPr>
      <w:r>
        <w:rPr>
          <w:rFonts w:ascii="Times New Roman" w:hAnsi="Times New Roman" w:cs="Times New Roman"/>
          <w:lang w:val="tr-TR"/>
        </w:rPr>
        <w:t xml:space="preserve">Hidrojen yandığında yalnızca su oluşturan, birim kütle başına çok yüksek enerji veren bir enerji taşıyıcısıdır. Yenilenebilir kaynaklardan ve atıklardan elde edilen hidrojene yeşil hidrojen denir. Evsel organik atıklar, oksijensiz ve ışıksız ortamda bazı mikroorganizmalar tarafından fermantasyonla parçalanırken hidrojen gazı üretilebilir. Elde edilen hidrojen miktarı atığın türüne, miktarına, sıcaklığa, pH’a ve mikroorganizma türüne bağlıdır.</w:t>
      </w:r>
    </w:p>
    <w:p>
      <w:pPr>
        <w:jc w:val="center"/>
      </w:pPr>
      <w:r>
        <w:drawing>
          <wp:inline xmlns:a="http://schemas.openxmlformats.org/drawingml/2006/main" xmlns:pic="http://schemas.openxmlformats.org/drawingml/2006/picture">
            <wp:extent cx="2460937" cy="2519999"/>
            <wp:docPr id="2" name="Picture 2"/>
            <wp:cNvGraphicFramePr>
              <a:graphicFrameLocks noChangeAspect="1"/>
            </wp:cNvGraphicFramePr>
            <a:graphic>
              <a:graphicData uri="http://schemas.openxmlformats.org/drawingml/2006/picture">
                <pic:pic>
                  <pic:nvPicPr>
                    <pic:cNvPr id="0" name="2253333735_d.jpg"/>
                    <pic:cNvPicPr/>
                  </pic:nvPicPr>
                  <pic:blipFill>
                    <a:blip r:embed="rId12"/>
                    <a:stretch>
                      <a:fillRect/>
                    </a:stretch>
                  </pic:blipFill>
                  <pic:spPr>
                    <a:xfrm>
                      <a:off x="0" y="0"/>
                      <a:ext cx="2460937" cy="2519999"/>
                    </a:xfrm>
                    <a:prstGeom prst="rect"/>
                  </pic:spPr>
                </pic:pic>
              </a:graphicData>
            </a:graphic>
          </wp:inline>
        </w:drawing>
      </w:r>
    </w:p>
    <w:p>
      <w:pPr>
        <w:jc w:val="center"/>
      </w:pPr>
      <w:r>
        <w:rPr>
          <w:rFonts w:ascii="Times New Roman" w:hAnsi="Times New Roman" w:cs="Times New Roman"/>
          <w:b/>
          <w:bCs/>
          <w:highlight w:val="yellow"/>
          <w:lang w:val="tr-TR"/>
        </w:rPr>
        <w:t xml:space="preserve">Shutter id: 2253333735</w:t>
      </w:r>
    </w:p>
    <w:p>
      <w:r>
        <w:rPr>
          <w:rFonts w:ascii="Times New Roman" w:hAnsi="Times New Roman" w:cs="Times New Roman"/>
          <w:b/>
          <w:highlight w:val="yellow"/>
          <w:lang w:val="tr-TR"/>
        </w:rPr>
        <w:t xml:space="preserve">NOT: </w:t>
      </w:r>
      <w:r>
        <w:rPr>
          <w:rFonts w:ascii="Times New Roman" w:hAnsi="Times New Roman" w:cs="Times New Roman"/>
          <w:b w:val="0"/>
          <w:highlight w:val="yellow"/>
          <w:lang w:val="tr-TR"/>
        </w:rPr>
        <w:t>Görseldeki İngilizce yazılar Türkçeye çevrilecek: BIOFUEL PRODUCTION: Biyoyakıt üretimi; Biomass: Biyokütle; Processing Plant: İşleme tesisi; Heat and Electricity: Isı ve elektrik; Organic Waste &amp; Byproducts: Organik atıklar ve yan ürünler; Biofuel: Biyoyakıt.</w:t>
      </w:r>
    </w:p>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Evsel atıktan yeşil hidrojene</w:t>
      </w:r>
    </w:p>
    <w:p>
      <w:pPr>
        <w:jc w:val="both"/>
        <w:rPr>
          <w:rFonts w:ascii="Times New Roman" w:hAnsi="Times New Roman" w:cs="Times New Roman"/>
          <w:lang w:val="tr-TR"/>
        </w:rPr>
      </w:pPr>
      <w:r>
        <w:rPr>
          <w:rFonts w:ascii="Times New Roman" w:hAnsi="Times New Roman" w:cs="Times New Roman"/>
          <w:lang w:val="tr-TR"/>
        </w:rPr>
        <w:t xml:space="preserve">Nanoteknoloji, maddenin yaklaşık 1-100 nm boyutlarında incelenmesi ve bu boyutta ortaya çıkan farklı özelliklerin kullanılmasıdır. Nanoteknolojik ürünler sağlık, tekstil, gıda, enerji ve elektronik gibi alanlarda fayda sağlarken nanoparçacıkların çevreye ve canlılara olası etkileri araştırılmaktadır. Bu nedenle nanoteknolojik ürünler sağlık, güvenlik, etik ve sürdürülebilirlik açılarından birlikte değerlendirilmelidir.</w:t>
      </w:r>
    </w:p>
    <w:p>
      <w:pPr>
        <w:jc w:val="both"/>
        <w:rPr>
          <w:rFonts w:ascii="Times New Roman" w:hAnsi="Times New Roman" w:cs="Times New Roman"/>
          <w:lang w:val="tr-TR"/>
        </w:rPr>
      </w:pPr>
      <w:r>
        <w:rPr>
          <w:rFonts w:ascii="Times New Roman" w:hAnsi="Times New Roman" w:cs="Times New Roman"/>
          <w:lang w:val="tr-TR"/>
        </w:rPr>
        <w:t xml:space="preserve">Boyutu 5 mm’den küçük plastik parçacıklara mikroplastik, genellikle 100 nm’den küçük olanlara nanoplastik denir. Mikroplastikler doğrudan küçük boyutta üretilebileceği ya da kullanım sırasında küçük parçacıklar hâlinde salınabileceği gibi (birincil) büyük plastiklerin parçalanmasıyla da (ikincil) oluşur. Su, toprak, hava ve besin zincirinde bulunan mikroplastiklerin sağlık etkileri araştırılmaktadır. Tek kullanımlık plastiklerin azaltılması ve atıkların doğru yönetimi mikroplastik kirliliğini azaltır.</w:t>
      </w:r>
    </w:p>
    <w:p>
      <w:pPr>
        <w:jc w:val="center"/>
      </w:pPr>
      <w:r>
        <w:drawing>
          <wp:inline xmlns:a="http://schemas.openxmlformats.org/drawingml/2006/main" xmlns:pic="http://schemas.openxmlformats.org/drawingml/2006/picture">
            <wp:extent cx="2825112" cy="2520000"/>
            <wp:docPr id="1" name="Picture 1"/>
            <wp:cNvGraphicFramePr>
              <a:graphicFrameLocks noChangeAspect="1"/>
            </wp:cNvGraphicFramePr>
            <a:graphic>
              <a:graphicData uri="http://schemas.openxmlformats.org/drawingml/2006/picture">
                <pic:pic>
                  <pic:nvPicPr>
                    <pic:cNvPr id="0" name="1950982039_d.jpg"/>
                    <pic:cNvPicPr/>
                  </pic:nvPicPr>
                  <pic:blipFill>
                    <a:blip r:embed="rId11"/>
                    <a:stretch>
                      <a:fillRect/>
                    </a:stretch>
                  </pic:blipFill>
                  <pic:spPr>
                    <a:xfrm>
                      <a:off x="0" y="0"/>
                      <a:ext cx="2825112" cy="2520000"/>
                    </a:xfrm>
                    <a:prstGeom prst="rect"/>
                  </pic:spPr>
                </pic:pic>
              </a:graphicData>
            </a:graphic>
          </wp:inline>
        </w:drawing>
      </w:r>
    </w:p>
    <w:p>
      <w:pPr>
        <w:jc w:val="center"/>
      </w:pPr>
      <w:r>
        <w:rPr>
          <w:rFonts w:ascii="Times New Roman" w:hAnsi="Times New Roman" w:cs="Times New Roman"/>
          <w:b/>
          <w:bCs/>
          <w:highlight w:val="yellow"/>
          <w:lang w:val="tr-TR"/>
        </w:rPr>
        <w:t xml:space="preserve">Shutter id: 1950982039</w:t>
      </w:r>
    </w:p>
    <w:p>
      <w:r>
        <w:rPr>
          <w:rFonts w:ascii="Times New Roman" w:hAnsi="Times New Roman" w:cs="Times New Roman"/>
          <w:b/>
          <w:highlight w:val="yellow"/>
          <w:lang w:val="tr-TR"/>
        </w:rPr>
        <w:t xml:space="preserve">NOT: </w:t>
      </w:r>
      <w:r>
        <w:rPr>
          <w:rFonts w:ascii="Times New Roman" w:hAnsi="Times New Roman" w:cs="Times New Roman"/>
          <w:b w:val="0"/>
          <w:highlight w:val="yellow"/>
          <w:lang w:val="tr-TR"/>
        </w:rPr>
        <w:t>Görseldeki İngilizce yazılar Türkçeye çevrilecek: MICROPLASTIC IN FOOD CHAIN: Besin zincirinde mikroplastik.</w:t>
      </w: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Mikroplastiklerin döngüsü</w:t>
      </w:r>
    </w:p>
    <w:p>
      <w:pPr>
        <w:jc w:val="both"/>
        <w:rPr>
          <w:rFonts w:ascii="Times New Roman" w:hAnsi="Times New Roman" w:cs="Times New Roman"/>
          <w:lang w:val="tr-TR"/>
        </w:rPr>
      </w:pPr>
      <w:r>
        <w:rPr>
          <w:rFonts w:ascii="Times New Roman" w:hAnsi="Times New Roman" w:cs="Times New Roman"/>
          <w:b/>
          <w:bCs/>
          <w:lang w:val="tr-TR"/>
        </w:rPr>
        <w:t xml:space="preserve">Anahtar Kavramlar:</w:t>
      </w:r>
      <w:r>
        <w:rPr>
          <w:rFonts w:ascii="Times New Roman" w:hAnsi="Times New Roman" w:cs="Times New Roman"/>
          <w:lang w:val="tr-TR"/>
        </w:rPr>
        <w:t xml:space="preserve"> mikroplastik, nanoplastik, nanoteknoloji, yeşil hidrojen enerjisi.</w:t>
      </w:r>
    </w:p>
    <w:p>
      <w:pPr>
        <w:jc w:val="both"/>
        <w:rPr>
          <w:rFonts w:ascii="Times New Roman" w:hAnsi="Times New Roman" w:cs="Times New Roman"/>
          <w:b/>
          <w:bCs/>
          <w:lang w:val="tr-TR"/>
        </w:rPr>
      </w:pPr>
      <w:r>
        <w:rPr>
          <w:rFonts w:ascii="Times New Roman" w:hAnsi="Times New Roman" w:cs="Times New Roman"/>
          <w:b/>
          <w:bCs/>
          <w:lang w:val="tr-TR"/>
        </w:rPr>
        <w:t xml:space="preserve">ÖĞRENME ÇIKTILARI VE SÜREÇ BİLEŞENLERİ</w:t>
      </w:r>
    </w:p>
    <w:p>
      <w:pPr>
        <w:jc w:val="both"/>
        <w:rPr>
          <w:rFonts w:ascii="Times New Roman" w:hAnsi="Times New Roman" w:cs="Times New Roman"/>
          <w:b/>
          <w:bCs/>
          <w:lang w:val="tr-TR"/>
        </w:rPr>
      </w:pPr>
      <w:r>
        <w:rPr>
          <w:rFonts w:ascii="Times New Roman" w:hAnsi="Times New Roman" w:cs="Times New Roman"/>
          <w:b/>
          <w:bCs/>
          <w:lang w:val="tr-TR"/>
        </w:rPr>
        <w:t xml:space="preserve">KİM.11.3.1</w:t>
      </w:r>
    </w:p>
    <w:p>
      <w:pPr>
        <w:jc w:val="both"/>
        <w:rPr>
          <w:rFonts w:ascii="Times New Roman" w:hAnsi="Times New Roman" w:cs="Times New Roman"/>
          <w:lang w:val="tr-TR"/>
        </w:rPr>
      </w:pPr>
      <w:r>
        <w:rPr>
          <w:rFonts w:ascii="Times New Roman" w:hAnsi="Times New Roman" w:cs="Times New Roman"/>
          <w:lang w:val="tr-TR"/>
        </w:rPr>
        <w:t xml:space="preserve">a. Evsel atıklardan fermantasyon yöntemi ile yeşil hidrojen enerjisi elde etme sürecini etkileyen faktörlere yönelik araştırma soruları belirler.</w:t>
      </w:r>
    </w:p>
    <w:p>
      <w:pPr>
        <w:jc w:val="both"/>
        <w:rPr>
          <w:rFonts w:ascii="Times New Roman" w:hAnsi="Times New Roman" w:cs="Times New Roman"/>
          <w:lang w:val="tr-TR"/>
        </w:rPr>
      </w:pPr>
      <w:r>
        <w:rPr>
          <w:rFonts w:ascii="Times New Roman" w:hAnsi="Times New Roman" w:cs="Times New Roman"/>
          <w:lang w:val="tr-TR"/>
        </w:rPr>
        <w:t xml:space="preserve">b. Yeşil hidrojen enerjisi elde etmek üzere seçilen evsel atık türünün hidrojen gazı miktarının değişimine etkisine yönelik neden-sonuç ilişkilerini belirler.</w:t>
      </w:r>
    </w:p>
    <w:p>
      <w:pPr>
        <w:jc w:val="both"/>
        <w:rPr>
          <w:rFonts w:ascii="Times New Roman" w:hAnsi="Times New Roman" w:cs="Times New Roman"/>
          <w:lang w:val="tr-TR"/>
        </w:rPr>
      </w:pPr>
      <w:r>
        <w:rPr>
          <w:rFonts w:ascii="Times New Roman" w:hAnsi="Times New Roman" w:cs="Times New Roman"/>
          <w:lang w:val="tr-TR"/>
        </w:rPr>
        <w:t xml:space="preserve">c. Neden-sonuç ilişkilerini araştırabilmek için yeşil hidrojen gazı eldesine yönelik bağımlı-bağımsız değişkenleri ve kontrol değişkenlerini belirler.</w:t>
      </w:r>
    </w:p>
    <w:p>
      <w:pPr>
        <w:jc w:val="both"/>
        <w:rPr>
          <w:rFonts w:ascii="Times New Roman" w:hAnsi="Times New Roman" w:cs="Times New Roman"/>
          <w:lang w:val="tr-TR"/>
        </w:rPr>
      </w:pPr>
      <w:r>
        <w:rPr>
          <w:rFonts w:ascii="Times New Roman" w:hAnsi="Times New Roman" w:cs="Times New Roman"/>
          <w:lang w:val="tr-TR"/>
        </w:rPr>
        <w:t xml:space="preserve">ç. Değişkenler arasındaki ilişkiyi belirlemek üzere deneyler yapar.</w:t>
      </w:r>
    </w:p>
    <w:p>
      <w:pPr>
        <w:jc w:val="both"/>
        <w:rPr>
          <w:rFonts w:ascii="Times New Roman" w:hAnsi="Times New Roman" w:cs="Times New Roman"/>
          <w:lang w:val="tr-TR"/>
        </w:rPr>
      </w:pPr>
      <w:r>
        <w:rPr>
          <w:rFonts w:ascii="Times New Roman" w:hAnsi="Times New Roman" w:cs="Times New Roman"/>
          <w:lang w:val="tr-TR"/>
        </w:rPr>
        <w:t xml:space="preserve">d. Hidrojen gazı miktarının değişimine neden olan faktörlere yönelik önermeler sunar.</w:t>
      </w:r>
    </w:p>
    <w:p>
      <w:pPr>
        <w:jc w:val="both"/>
        <w:rPr>
          <w:rFonts w:ascii="Times New Roman" w:hAnsi="Times New Roman" w:cs="Times New Roman"/>
          <w:b/>
          <w:bCs/>
          <w:lang w:val="tr-TR"/>
        </w:rPr>
      </w:pPr>
      <w:r>
        <w:rPr>
          <w:rFonts w:ascii="Times New Roman" w:hAnsi="Times New Roman" w:cs="Times New Roman"/>
          <w:b/>
          <w:bCs/>
          <w:lang w:val="tr-TR"/>
        </w:rPr>
        <w:t xml:space="preserve">KİM.11.3.2</w:t>
      </w:r>
    </w:p>
    <w:p>
      <w:pPr>
        <w:jc w:val="both"/>
        <w:rPr>
          <w:rFonts w:ascii="Times New Roman" w:hAnsi="Times New Roman" w:cs="Times New Roman"/>
          <w:lang w:val="tr-TR"/>
        </w:rPr>
      </w:pPr>
      <w:r>
        <w:rPr>
          <w:rFonts w:ascii="Times New Roman" w:hAnsi="Times New Roman" w:cs="Times New Roman"/>
          <w:lang w:val="tr-TR"/>
        </w:rPr>
        <w:t xml:space="preserve">a. Nanoteknolojik ürünlerin potansiyel faydalarını ve olası zararlarını sorgular.</w:t>
      </w:r>
    </w:p>
    <w:p>
      <w:pPr>
        <w:jc w:val="both"/>
        <w:rPr>
          <w:rFonts w:ascii="Times New Roman" w:hAnsi="Times New Roman" w:cs="Times New Roman"/>
          <w:lang w:val="tr-TR"/>
        </w:rPr>
      </w:pPr>
      <w:r>
        <w:rPr>
          <w:rFonts w:ascii="Times New Roman" w:hAnsi="Times New Roman" w:cs="Times New Roman"/>
          <w:lang w:val="tr-TR"/>
        </w:rPr>
        <w:t xml:space="preserve">b. Sağlık, etik, güvenlik ve sürdürülebilirlik açılarından nanoteknolojik ürünlerin etkileri hakkında akıl yürütür.</w:t>
      </w:r>
    </w:p>
    <w:p>
      <w:pPr>
        <w:jc w:val="both"/>
        <w:rPr>
          <w:rFonts w:ascii="Times New Roman" w:hAnsi="Times New Roman" w:cs="Times New Roman"/>
          <w:lang w:val="tr-TR"/>
        </w:rPr>
      </w:pPr>
      <w:r>
        <w:rPr>
          <w:rFonts w:ascii="Times New Roman" w:hAnsi="Times New Roman" w:cs="Times New Roman"/>
          <w:lang w:val="tr-TR"/>
        </w:rPr>
        <w:t xml:space="preserve">c. Akıl yürütmeyle ulaştığı çıkarımları yansıtır.</w:t>
      </w:r>
    </w:p>
    <w:p>
      <w:pPr>
        <w:jc w:val="both"/>
        <w:rPr>
          <w:rFonts w:ascii="Times New Roman" w:hAnsi="Times New Roman" w:cs="Times New Roman"/>
          <w:b/>
          <w:bCs/>
          <w:lang w:val="tr-TR"/>
        </w:rPr>
      </w:pPr>
      <w:r>
        <w:rPr>
          <w:rFonts w:ascii="Times New Roman" w:hAnsi="Times New Roman" w:cs="Times New Roman"/>
          <w:b/>
          <w:bCs/>
          <w:lang w:val="tr-TR"/>
        </w:rPr>
        <w:t xml:space="preserve">KİM.11.3.3</w:t>
      </w:r>
    </w:p>
    <w:p>
      <w:pPr>
        <w:jc w:val="both"/>
        <w:rPr>
          <w:rFonts w:ascii="Times New Roman" w:hAnsi="Times New Roman" w:cs="Times New Roman"/>
          <w:lang w:val="tr-TR"/>
        </w:rPr>
      </w:pPr>
      <w:r>
        <w:rPr>
          <w:rFonts w:ascii="Times New Roman" w:hAnsi="Times New Roman" w:cs="Times New Roman"/>
          <w:lang w:val="tr-TR"/>
        </w:rPr>
        <w:t xml:space="preserve">a. Mikroplastik ve nanoplastiklerin etkilerine ilişkin merak ettiği konuyu tanımlar.</w:t>
      </w:r>
    </w:p>
    <w:p>
      <w:pPr>
        <w:jc w:val="both"/>
        <w:rPr>
          <w:rFonts w:ascii="Times New Roman" w:hAnsi="Times New Roman" w:cs="Times New Roman"/>
          <w:lang w:val="tr-TR"/>
        </w:rPr>
      </w:pPr>
      <w:r>
        <w:rPr>
          <w:rFonts w:ascii="Times New Roman" w:hAnsi="Times New Roman" w:cs="Times New Roman"/>
          <w:lang w:val="tr-TR"/>
        </w:rPr>
        <w:t xml:space="preserve">b. Mikroplastik ve nanoplastiklerin çevre, sağlık, gıda, enerji, malzeme bilimi, kozmetik ve kişisel bakıma etkileri hakkında araştırma soruları sorar.</w:t>
      </w:r>
    </w:p>
    <w:p>
      <w:pPr>
        <w:jc w:val="both"/>
        <w:rPr>
          <w:rFonts w:ascii="Times New Roman" w:hAnsi="Times New Roman" w:cs="Times New Roman"/>
          <w:lang w:val="tr-TR"/>
        </w:rPr>
      </w:pPr>
      <w:r>
        <w:rPr>
          <w:rFonts w:ascii="Times New Roman" w:hAnsi="Times New Roman" w:cs="Times New Roman"/>
          <w:lang w:val="tr-TR"/>
        </w:rPr>
        <w:t xml:space="preserve">c. Mikroplastik ve nanoplastiklerin çevre, sağlık, gıda, enerji, malzeme bilimi, kozmetik ve kişisel bakıma etkileri hakkında bilgi toplar.</w:t>
      </w:r>
    </w:p>
    <w:p>
      <w:pPr>
        <w:jc w:val="both"/>
        <w:rPr>
          <w:rFonts w:ascii="Times New Roman" w:hAnsi="Times New Roman" w:cs="Times New Roman"/>
          <w:lang w:val="tr-TR"/>
        </w:rPr>
      </w:pPr>
      <w:r>
        <w:rPr>
          <w:rFonts w:ascii="Times New Roman" w:hAnsi="Times New Roman" w:cs="Times New Roman"/>
          <w:lang w:val="tr-TR"/>
        </w:rPr>
        <w:t xml:space="preserve">ç. Topladığı bilgilerin doğruluğunu değerlendirir.</w:t>
      </w:r>
    </w:p>
    <w:p>
      <w:pPr>
        <w:jc w:val="both"/>
        <w:rPr>
          <w:rFonts w:ascii="Times New Roman" w:hAnsi="Times New Roman" w:cs="Times New Roman"/>
          <w:lang w:val="tr-TR"/>
        </w:rPr>
      </w:pPr>
      <w:r>
        <w:rPr>
          <w:rFonts w:ascii="Times New Roman" w:hAnsi="Times New Roman" w:cs="Times New Roman"/>
          <w:lang w:val="tr-TR"/>
        </w:rPr>
        <w:t xml:space="preserve">d. Topladığı bilgileri kullanarak mikroplastik ve nanoplastiklerin çevre, sağlık, gıda, enerji, malzeme bilimi, kozmetik ve kişisel bakıma etkilerine ilişkin çıkarımlar yapar.</w:t>
      </w:r>
    </w:p>
    <w:p>
      <w:pPr>
        <w:jc w:val="both"/>
        <w:rPr>
          <w:rFonts w:ascii="Times New Roman" w:hAnsi="Times New Roman" w:cs="Times New Roman"/>
          <w:b/>
          <w:bCs/>
          <w:lang w:val="tr-TR"/>
        </w:rPr>
      </w:pPr>
      <w:r>
        <w:rPr>
          <w:rFonts w:ascii="Times New Roman" w:hAnsi="Times New Roman" w:cs="Times New Roman"/>
          <w:b/>
          <w:bCs/>
          <w:lang w:val="tr-TR"/>
        </w:rPr>
        <w:t xml:space="preserve">GÖVDE</w:t>
      </w:r>
    </w:p>
    <w:p>
      <w:pPr>
        <w:jc w:val="both"/>
        <w:rPr>
          <w:rFonts w:ascii="Times New Roman" w:hAnsi="Times New Roman" w:cs="Times New Roman"/>
          <w:b/>
          <w:bCs/>
          <w:lang w:val="tr-TR"/>
        </w:rPr>
      </w:pPr>
      <w:r>
        <w:rPr>
          <w:rFonts w:ascii="Times New Roman" w:hAnsi="Times New Roman" w:cs="Times New Roman"/>
          <w:b/>
          <w:bCs/>
          <w:lang w:val="tr-TR"/>
        </w:rPr>
        <w:t xml:space="preserve">KİM.11.3.1. Evsel atıklardan fermantasyon yöntemi ile yeşil hidrojen enerjisi elde etme sürecine yönelik hipotez oluşturabilme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Seçilen evsel atıklardan fermantasyon ile yeşil hidrojen gazı elde etmeye yönelik deney videosu, animasyon veya simülasyon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Deney Videosu Çekilecek: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“Evlerimizden her gün çıkan patates kabukları, bayat ekmekler ve meyve artıkları aslında bir enerji kaynağı olabilir. Bu deneyde evsel atıklardan fermantasyon yöntemiyle gaz elde edeceğiz (NOT: masada üç şişe ve yanlarında patates kabuğu, bayat ekmek, marul yaprağı). Her şişeye eşit kütlede atık koyuyoruz (NOT: atıkların tartılması gösterilsin). Ardından eşit hacimde ılık su ve eşit miktarda hidrojen üreten bakteri kültürü ekliyoruz. Şişelerin ağzına havası boşaltılmış balonlar takıyoruz ve şişeleri ışık almayan, sıcaklığı sabit bir dolaba yerleştiriyoruz (NOT: termometre 30 °C civarını göstersin). Fermantasyon oksijensiz ortamda gerçekleştiği için şişelerin hava almaması önemlidir. Birkaç gün sonra balonlara bakalım (NOT: zaman atlaması; balonların farklı büyüklükte şiştiği görülsün). Nişasta bakımından zengin atıkların bulunduğu şişelerde balonların daha fazla şiştiği görülüyor. Mikroorganizmalar atıklardaki karbonhidratları parçalarken hidrojen ve karbon dioksit gibi gazlar üretir (NOT: ekrana C₆H₁₂O₆ + 2H₂O → 2CH₃COOH + 2CO₂ + 4H₂ denklemi gelsin). Atık türü, atık miktarı, sıcaklık ve ışık gibi faktörler elde edilen gaz miktarını etkiler. Sizce bu faktörleri değiştirirsek sonuç nasıl değişir? Hipotezlerinizi oluşturun.”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 çekiminde hidrojen üreten bakteri kültürü (ör. ısıl ön işlemden geçirilmiş anaerobik çamur; üniversite ya da arıtma tesisi laboratuvarlarından temin edilebilir) kullanılmalıdır. Maya kullanılırsa toplanan gazın büyük kısmı karbon dioksit olur; bu durumda alev testi yapılmamalıdır. Videoda “toplanan gazın tamamı hidrojen değildir” vurgusu yapılsın. Hidrojenin varlığı öğretmen gözetiminde küçük bir alev testiyle (hafif “pıt” sesi) gösterilebilir; güvenlik uyarısı ekranda yazılı olsun.</w:t>
      </w:r>
    </w:p>
    <w:p>
      <w:pPr>
        <w:jc w:val="both"/>
        <w:rPr>
          <w:rFonts w:ascii="Times New Roman" w:hAnsi="Times New Roman" w:cs="Times New Roman"/>
          <w:b/>
          <w:bCs/>
          <w:lang w:val="tr-TR"/>
        </w:rPr>
      </w:pPr>
      <w:r>
        <w:rPr>
          <w:rFonts w:ascii="Times New Roman" w:hAnsi="Times New Roman" w:cs="Times New Roman"/>
          <w:b/>
          <w:bCs/>
          <w:lang w:val="tr-TR"/>
        </w:rPr>
        <w:t xml:space="preserve">KİM.11.3.2. Nanoteknolojik ürünlerin seçimine yönelik eleştirel düşünebilme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Öğrencilerin nanoteknolojik ürünlerin potansiyel faydalarını ve olası zararlarını kanıtlarla destekleyerek sorgulamaları için etkileşimli içerik/video veya animasyon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(Sürükle Bırak + Karar Verme) Hazırlanacak:</w:t>
      </w:r>
    </w:p>
    <w:p>
      <w:pPr>
        <w:jc w:val="both"/>
        <w:rPr>
          <w:rFonts w:ascii="Times New Roman" w:hAnsi="Times New Roman" w:cs="Times New Roman"/>
          <w:lang w:val="tr-TR"/>
        </w:rPr>
      </w:pPr>
      <w:r>
        <w:rPr>
          <w:rFonts w:ascii="Times New Roman" w:hAnsi="Times New Roman" w:cs="Times New Roman"/>
          <w:lang w:val="tr-TR"/>
        </w:rPr>
        <w:t xml:space="preserve">1. Ekran: Aşağıdaki ifadeleri “Potansiyel fayda” ya da “Olası zarar” kutusuna sürükleyiniz.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500"/>
        <w:gridCol w:w="2500"/>
      </w:tblGrid>
      <w:tr>
        <w:tc>
          <w:tcPr>
            <w:tcW w:w="6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İfade</w:t>
            </w:r>
          </w:p>
        </w:tc>
        <w:tc>
          <w:tcPr>
            <w:tcW w:w="2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kutu</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Gümüş nanoparçacıklar yaradaki bakterilerin çoğalmasını engeller.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Potansiyel fayda</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Yıkama suyuna geçen gümüş nanoparçacıklar arıtma tesisindeki bakterileri etkileyebilir.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Olası zarar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Nanokil katkılı ambalajlar gıdaların raf ömrünü uzatır.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Potansiyel fayda</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Çok küçük parçacıklar solunum yoluyla akciğerlere ulaşabilir.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Olası zarar</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Nanotaşıyıcılar ilacı hedef dokuya ulaştırarak daha az ilaçla etki sağlar.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Potansiyel fayda</w:t>
            </w:r>
          </w:p>
        </w:tc>
      </w:tr>
      <w:tr>
        <w:tc>
          <w:tcPr>
            <w:tcW w:w="6500" w:type="dxa"/>
            <w:vAlign w:val="center"/>
          </w:tcPr>
          <w:p>
            <w:pPr>
              <w:jc w:val="left"/>
              <w:rPr>
                <w:rFonts w:ascii="Times New Roman" w:hAnsi="Times New Roman" w:cs="Times New Roman"/>
                <w:lang w:val="tr-TR"/>
              </w:rPr>
            </w:pPr>
            <w:r>
              <w:rPr>
                <w:rFonts w:ascii="Times New Roman" w:hAnsi="Times New Roman" w:cs="Times New Roman"/>
                <w:lang w:val="tr-TR"/>
              </w:rPr>
              <w:t xml:space="preserve">Nanomalzemelerin uzun süreli çevre etkileri tam olarak bilinmemektedir.</w:t>
            </w:r>
          </w:p>
        </w:tc>
        <w:tc>
          <w:tcPr>
            <w:tcW w:w="2500" w:type="dxa"/>
            <w:vAlign w:val="center"/>
          </w:tcPr>
          <w:p>
            <w:pPr>
              <w:jc w:val="left"/>
              <w:rPr>
                <w:rFonts w:ascii="Times New Roman" w:hAnsi="Times New Roman" w:cs="Times New Roman"/>
                <w:lang w:val="tr-TR"/>
              </w:rPr>
            </w:pPr>
            <w:r>
              <w:rPr>
                <w:rFonts w:ascii="Times New Roman" w:hAnsi="Times New Roman" w:cs="Times New Roman"/>
                <w:lang w:val="tr-TR"/>
              </w:rPr>
              <w:t xml:space="preserve">Olası zarar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Ekran (Karar verme): “Bir arkadaşınız ter kokusunu önlemek için gümüş nanoparçacıklı çorap almak istiyor.” Öğrenci “Önerir misiniz?” sorusuna Evet/Hayır/Koşullu seçeneklerinden birini seçsin ve en az iki gerekçe yazsın. Gerekçe kutusu boş geçilemesin.</w:t>
      </w:r>
    </w:p>
    <w:p>
      <w:pPr>
        <w:jc w:val="both"/>
        <w:rPr>
          <w:rFonts w:ascii="Times New Roman" w:hAnsi="Times New Roman" w:cs="Times New Roman"/>
          <w:lang w:val="tr-TR"/>
        </w:rPr>
      </w:pPr>
      <w:r>
        <w:rPr>
          <w:rFonts w:ascii="Times New Roman" w:hAnsi="Times New Roman" w:cs="Times New Roman"/>
          <w:b/>
          <w:bCs/>
          <w:lang w:val="tr-TR"/>
        </w:rPr>
        <w:t xml:space="preserve">Cevap Anahtarı:</w:t>
      </w:r>
      <w:r>
        <w:rPr>
          <w:rFonts w:ascii="Times New Roman" w:hAnsi="Times New Roman" w:cs="Times New Roman"/>
          <w:lang w:val="tr-TR"/>
        </w:rPr>
        <w:t xml:space="preserve"> 1. ekran tablodaki gibidir. 2. ekran öğrencinin özgün cevabıdır; sağlık, çevre ve gereklilik ölçütlerine değinilmesi beklenir.</w:t>
      </w:r>
    </w:p>
    <w:p>
      <w:pPr>
        <w:jc w:val="both"/>
        <w:rPr>
          <w:rFonts w:ascii="Times New Roman" w:hAnsi="Times New Roman" w:cs="Times New Roman"/>
          <w:b/>
          <w:bCs/>
          <w:lang w:val="tr-TR"/>
        </w:rPr>
      </w:pPr>
      <w:r>
        <w:rPr>
          <w:rFonts w:ascii="Times New Roman" w:hAnsi="Times New Roman" w:cs="Times New Roman"/>
          <w:b/>
          <w:bCs/>
          <w:lang w:val="tr-TR"/>
        </w:rPr>
        <w:t xml:space="preserve">KİM.11.3.3. Mikroplastik ve nanoplastiklerin etkilerini sorgulayabilme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Mikroplastik ve nanoplastiklerin ne olduğunu, çevreye ve insan sağlığına potansiyel faydası ve olası zararlı etkilerini ele alan bir video, animasyon veya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Video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plastik şişe denize ulaştığında kaybolmaz; güneşin morötesi ışınları, dalgalar ve sıcaklık değişimleriyle yıllar içinde parçalanır (NOT: şişenin çatlayıp parçalara ayrıldığı animasyon). Boyutu 5 milimetreden küçük plastik parçacıklara mikroplastik denir (NOT: ekranda cetvel ile 5 mm ölçeği). Daha da küçülerek genellikle bir mikrometrenin altına inen parçacıklar ise nanoplastik olarak adlandırılır. Mikroplastikler yalnızca büyük plastiklerin parçalanmasıyla oluşmaz; sentetik giysilerin yıkanması ve araç lastiklerinin aşınması da önemli kaynaklardır (NOT: çamaşır makinesi ve yol görüntüsü). Deniz canlıları bu parçacıkları besin sanarak yutabilir ve mikroplastikler besin zinciri yoluyla sofralarımıza kadar ulaşabilir (NOT: plankton → küçük balık → büyük balık → tabak animasyonu). Bilim insanları mikroplastik ve nanoplastiklerin insan sağlığı üzerindeki uzun süreli etkilerini araştırmaya devam etmektedir. Öte yandan kontrollü üretilen polimer nanoparçacıklar ilaç taşıma gibi alanlarda fayda da sağlayabilir. Tek kullanımlık plastikleri azaltmak, atıkları ayrı toplamak ve maskelerimizi doğaya atmamak mikroplastik kirliliğini azaltmak için atabileceğimiz basit adımlardır.”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Videoda kesin sağlık zararı iddiası yer almasın; “araştırmalar sürmektedir” ifadesi korunsun. Sayısal kirlilik verisi kullanılacaksa resmî kaynak (UNEP, OECD vb.) künyesiyle verilsin.</w:t>
      </w:r>
    </w:p>
    <w:p>
      <w:pPr>
        <w:jc w:val="both"/>
        <w:rPr>
          <w:rFonts w:ascii="Times New Roman" w:hAnsi="Times New Roman" w:cs="Times New Roman"/>
          <w:b/>
          <w:bCs/>
          <w:lang w:val="tr-TR"/>
        </w:rPr>
      </w:pPr>
      <w:r>
        <w:rPr>
          <w:rFonts w:ascii="Times New Roman" w:hAnsi="Times New Roman" w:cs="Times New Roman"/>
          <w:b/>
          <w:bCs/>
          <w:lang w:val="tr-TR"/>
        </w:rPr>
        <w:t xml:space="preserve">ÜNİTE SONU DİJİTAL DEĞERLENDİRME SORULARI</w:t>
      </w:r>
    </w:p>
    <w:p>
      <w:pPr>
        <w:jc w:val="both"/>
        <w:rPr>
          <w:rFonts w:ascii="Times New Roman" w:hAnsi="Times New Roman" w:cs="Times New Roman"/>
          <w:lang w:val="tr-TR"/>
        </w:rPr>
      </w:pPr>
      <w:r>
        <w:rPr>
          <w:rFonts w:ascii="Times New Roman" w:hAnsi="Times New Roman" w:cs="Times New Roman"/>
          <w:lang w:val="tr-TR"/>
        </w:rPr>
        <w:t xml:space="preserve">Ünite sonu dijital değerlendirme soruları kitaptaki ünite sonu soruları formatında ayrı dosyada hazırlanmıştır: dijital/Kim11_tema-3-dijital-unite-sonu-sorulari.docx. Yayınevi bu dosyayı PDF’e dönüştürecek; PDF’e ünite sonu sorularının bulunduğu sayfadaki karekodla erişilecektir.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jpg"/><Relationship Id="rId1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