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(Görsel B). Oysa çok hassas iletkenlik ölçerlerle yapılan ölçümler, saf suyun da çok az da olsa elektrik akımını ilettiğini gösterir (Görsel C). Elektrik akımının bir çözeltide iletilebilmesi için ortamda serbestçe hareket edebilen iyonlar bulunması gerekir. Peki hiçbir madde çözünmemiş saf suda bu iyonlar nereden gelmektedir? Saf suyun pH değeri neden 7’dir ve bu değer sıcaklıkla değişir mi? Bu soruların cevabını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saf su (damıtık su) dolu, etiketsiz pisetler.</w:t>
                  </w:r>
                </w:p>
                <w:p>
                  <w:pPr>
                    <w:jc w:val="both"/>
                    <w:rPr>
                      <w:rFonts w:ascii="Times New Roman" w:hAnsi="Times New Roman" w:cs="Times New Roman"/>
                      <w:lang w:val="tr-TR"/>
                    </w:rPr>
                  </w:pPr>
                  <w:r>
                    <w:rPr>
                      <w:rFonts w:ascii="Times New Roman" w:hAnsi="Times New Roman" w:cs="Times New Roman"/>
                      <w:lang w:val="tr-TR"/>
                    </w:rPr>
                    <w:t xml:space="preserve">Shutter ID: 2259054387 (fotoğraf) — Wash bottles with distilled water in laboratory</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kullanılan saf su</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Saf suyun iletkenliğinin ölçülmesi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63957"/>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19024"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Grafikteki değerler genel kimya kaynaklarındaki K</w:t>
      </w:r>
      <w:r>
        <w:rPr>
          <w:rFonts w:ascii="Times New Roman" w:hAnsi="Times New Roman" w:cs="Times New Roman"/>
          <w:lang w:val="tr-TR"/>
          <w:highlight w:val="yellow"/>
          <w:vertAlign w:val="subscript"/>
        </w:rPr>
        <w:t xml:space="preserve">su</w:t>
      </w:r>
      <w:r>
        <w:rPr>
          <w:rFonts w:ascii="Times New Roman" w:hAnsi="Times New Roman" w:cs="Times New Roman"/>
          <w:highlight w:val="yellow"/>
          <w:lang w:val="tr-TR"/>
        </w:rPr>
        <w:t xml:space="preserve"> verilerinden hesaplanmıştır (saf suda pH = −½·log K</w:t>
      </w:r>
      <w:r>
        <w:rPr>
          <w:rFonts w:ascii="Times New Roman" w:hAnsi="Times New Roman" w:cs="Times New Roman"/>
          <w:lang w:val="tr-TR"/>
          <w:highlight w:val="yellow"/>
          <w:vertAlign w:val="subscript"/>
        </w:rPr>
        <w:t xml:space="preserve">su</w:t>
      </w:r>
      <w:r>
        <w:rPr>
          <w:rFonts w:ascii="Times New Roman" w:hAnsi="Times New Roman" w:cs="Times New Roman"/>
          <w:highlight w:val="yellow"/>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