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Kuvvetli Asit-Zayıf Asit ve Kuvvetli Baz-Zayıf Baz Sulu Çözeltilerindeki pH Hesaplamaları</w:t>
      </w:r>
    </w:p>
    <w:p>
      <w:pPr>
        <w:jc w:val="both"/>
        <w:rPr>
          <w:rFonts w:ascii="Times New Roman" w:hAnsi="Times New Roman" w:cs="Times New Roman"/>
          <w:lang w:val="tr-TR"/>
        </w:rPr>
      </w:pPr>
      <w:r>
        <w:rPr>
          <w:rFonts w:ascii="Times New Roman" w:hAnsi="Times New Roman" w:cs="Times New Roman"/>
          <w:lang w:val="tr-TR"/>
        </w:rPr>
        <w:t xml:space="preserve">Akvaryum suyunun, havuz suyunun ya da tarım toprağının pH değeri düzenli olarak ölçülür ve gerektiğinde ayarlanır (Görsel A ve Görsel B). Bir çözeltiye ne kadar asit ya da baz eklenmesi gerektiğine karar verebilmek için çözeltinin pH değerinin önceden hesaplanabilmesi gerekir. Aynı derişimdeki kuvvetli ve zayıf asit çözeltilerinin pH değerleri aynı yöntemle mi hesaplanır? Bu sorunun cevabını bir etkinlik yaparak keşfediniz. Analiz ve Keşif Atölyesi 2.9.’da derişimleri aynı olan kuvvetli ve zayıf asit-baz çözeltilerinin ölçülen pH değerlerinden yola çıkarak iyon derişimlerini hesaplayacak, bu hesaplamaların ortak ve farklı yönlerini listeleyerek karşılaştıracaksınız. Tablodaki verileri dikkatle okuyup yorumlarken veri okuryazarlığınızı, çalışmanızı kendi hazırladığınız bir plana göre adım adım yürütürken de öz düzenleme becerinizi ve çalışkanlık değerinizi geliştireceksiniz.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akvaryumdan alınan su örneğinin pH test kiti ya da dijital pH metre ile ölçülmesi.</w:t>
                  </w:r>
                </w:p>
                <w:p>
                  <w:pPr>
                    <w:jc w:val="both"/>
                    <w:rPr>
                      <w:rFonts w:ascii="Times New Roman" w:hAnsi="Times New Roman" w:cs="Times New Roman"/>
                      <w:lang w:val="tr-TR"/>
                    </w:rPr>
                  </w:pPr>
                  <w:r>
                    <w:rPr>
                      <w:rFonts w:ascii="Times New Roman" w:hAnsi="Times New Roman" w:cs="Times New Roman"/>
                      <w:lang w:val="tr-TR"/>
                    </w:rPr>
                    <w:t xml:space="preserve">Shutter ID: 2229399895 (fotoğraf) — Hands holding pH test in front of freshwater aquarium</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Akvaryum suyunun pH ölçümü</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 ya da bahçe toprağına batırılmış toprak pH ölçer.</w:t>
                  </w:r>
                </w:p>
                <w:p>
                  <w:pPr>
                    <w:jc w:val="both"/>
                    <w:rPr>
                      <w:rFonts w:ascii="Times New Roman" w:hAnsi="Times New Roman" w:cs="Times New Roman"/>
                      <w:lang w:val="tr-TR"/>
                    </w:rPr>
                  </w:pPr>
                  <w:r>
                    <w:rPr>
                      <w:rFonts w:ascii="Times New Roman" w:hAnsi="Times New Roman" w:cs="Times New Roman"/>
                      <w:lang w:val="tr-TR"/>
                    </w:rPr>
                    <w:t xml:space="preserve">Shutter ID: 2840825669 (fotoğraf) — Analog soil moisture and pH tester inserted in garden soil</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Toprağın pH değerinin ölçülmesi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Hedefinize ulaşmak için bir çalışma planı yapınız ve bu planı uygulayınız. Aşağıdaki tabloda 25 °C’de derişimleri aynı olan bazı çözeltilerin ölçülen pH değerleri verilmiştir. Okulunuzda imkân varsa bu çözeltileri hazırlayarak pH değerlerini kendiniz ölçebilirsiniz. Planınızda hangi verileri kullanacağınızı, hesaplamaları hangi sırayla yapacağınızı ve her adıma ne kadar zaman ayıracağınızı belirleyiniz; etkinlik sonunda planınıza ne ölçüde uyduğunuzu değerlendiriniz.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1800"/>
        <w:gridCol w:w="2200"/>
        <w:gridCol w:w="2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(kuvvetli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(zayıf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(kuvvetli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(zayıf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Ölçülen pH değerlerini kullanarak her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derişimlerini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çözeltisindeki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asidin başlangıç derişimini karşılaştırınız.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 için aynı karşılaştırmayı yapınız. Ne fark ediyorsunuz? Benzer karşılaştırmayı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çözeltilerindeki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ile bazların başlangıç derişimleri arasında da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Derişimleri aynı olan kuvvetli asit ve zayıf asit çözeltilerinin pH değerine ilişkin özellikleri belirleyiniz. Aynı işlemi derişimleri aynı olan kuvvetli baz ve 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K</w:t>
      </w:r>
      <w:r>
        <w:rPr>
          <w:rFonts w:ascii="Times New Roman" w:hAnsi="Times New Roman" w:cs="Times New Roman"/>
          <w:lang w:val="tr-TR"/>
          <w:vertAlign w:val="subscript"/>
        </w:rPr>
        <w:t xml:space="preserve">a</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değerini kullanarak 0,10 M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çözeltisinin pH değerini hesaplamaya çalışınız. Aynı hesaplamayı K</w:t>
      </w:r>
      <w:r>
        <w:rPr>
          <w:rFonts w:ascii="Times New Roman" w:hAnsi="Times New Roman" w:cs="Times New Roman"/>
          <w:lang w:val="tr-TR"/>
          <w:vertAlign w:val="subscript"/>
        </w:rPr>
        <w:t xml:space="preserve">b</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değerini kullanarak 0,10 M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için de yapınız. Hesapladığınız değerleri ölçülen değerlerle karşılaştırınız. Hesaplamanızda hangi yaklaşımları yaptığınızı yazınız ve bu yaklaşımların hangi koşulda büyük bir hataya yol açmayacağını asit ya da bazın derişimini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değeriyle karşılaştırarak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asit-zayıf asit çözeltilerinin pH hesaplamalarına ilişkin benzerlikleri ve farklılıkları listeleyiniz. Aynı karşılaştırmayı kuvvetli baz-zayıf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Benzerlikler</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Farklılıklar</w:t>
            </w: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asit – Zayıf asit</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baz – Zayıf baz</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Çözeltilerinde pH: Kuvvetli asit ve bazların suda tamamen iyonlaştığı kabul edilir; iyonlaşma tepkimeleri tek yönlü olduğundan bu çözeltiler için denge bağıntısı yazılmaz. Monofonksiyonel kuvvetli bir asidin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 derişimi asidin derişimine eşittir: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a</w:t>
      </w:r>
      <w:r>
        <w:rPr>
          <w:rFonts w:ascii="Times New Roman" w:hAnsi="Times New Roman" w:cs="Times New Roman"/>
          <w:lang w:val="tr-TR"/>
        </w:rPr>
        <w:t xml:space="preserve">. Monofonksiyonel kuvvetli bir bazın çözeltisinde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b</w:t>
      </w:r>
      <w:r>
        <w:rPr>
          <w:rFonts w:ascii="Times New Roman" w:hAnsi="Times New Roman" w:cs="Times New Roman"/>
          <w:lang w:val="tr-TR"/>
        </w:rPr>
        <w:t xml:space="preserve">’dir. Örneğin 25 °C’de 0,010 M HNO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ve pH = 2’dir. Aynı sıcaklıkta 0,010 M KOH çözeltisinde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pOH = 2 ve pH = 12’dir. Bu hesaplamalarda suyun otoiyonizasyonundan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ihmal edilir. Asit ya da baz derişimi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mol/L’den çok büyük olduğunda sudan gelen iyonlar asit ya da bazdan gelen iyonların yanında çok az kaldığı için bu ihmal büyük bir hataya yol açmaz.</w:t>
      </w:r>
    </w:p>
    <w:p>
      <w:pPr>
        <w:jc w:val="both"/>
        <w:rPr>
          <w:rFonts w:ascii="Times New Roman" w:hAnsi="Times New Roman" w:cs="Times New Roman"/>
          <w:lang w:val="tr-TR"/>
        </w:rPr>
      </w:pPr>
      <w:r>
        <w:rPr>
          <w:rFonts w:ascii="Times New Roman" w:hAnsi="Times New Roman" w:cs="Times New Roman"/>
          <w:lang w:val="tr-TR"/>
        </w:rPr>
        <w:t xml:space="preserve">Zayıf Asit ve Zayıf Baz Çözeltilerinde pH: Zayıf asitler kısmen iyonlaştığı için çözeltideki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asidin başlangıç derişiminden çok küçüktür ve yalnızca asidin derişiminden bulunamaz; hesaplamada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kullanılır. Başlangıç derişimi C</w:t>
      </w:r>
      <w:r>
        <w:rPr>
          <w:rFonts w:ascii="Times New Roman" w:hAnsi="Times New Roman" w:cs="Times New Roman"/>
          <w:lang w:val="tr-TR"/>
          <w:vertAlign w:val="subscript"/>
        </w:rPr>
        <w:t xml:space="preserve">a</w:t>
      </w:r>
      <w:r>
        <w:rPr>
          <w:rFonts w:ascii="Times New Roman" w:hAnsi="Times New Roman" w:cs="Times New Roman"/>
          <w:lang w:val="tr-TR"/>
        </w:rPr>
        <w:t xml:space="preserve"> olan monofonksiyonel zayıf bir HA asidinin çözeltisinde x mol/L asit iyonlaşırsa: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900"/>
        <w:gridCol w:w="1700"/>
        <w:gridCol w:w="1900"/>
        <w:gridCol w:w="1900"/>
      </w:tblGrid>
      <w:tr>
        <w:tc>
          <w:tcPr>
            <w:tcW w:w="1600" w:type="dxa"/>
            <w:shd w:val="clear" w:color="auto" w:fill="D9E2F3"/>
            <w:vAlign w:val="center"/>
          </w:tcPr>
          <w:p>
            <w:pPr>
              <w:jc w:val="center"/>
              <w:rPr>
                <w:rFonts w:ascii="Times New Roman" w:hAnsi="Times New Roman" w:cs="Times New Roman"/>
                <w:b/>
                <w:bCs/>
                <w:lang w:val="tr-TR"/>
              </w:rPr>
            </w:pP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HA(suda)</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O(s) ⇌</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A</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 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bl>
    <w:p>
      <w:pPr>
        <w:jc w:val="both"/>
        <w:rPr>
          <w:rFonts w:ascii="Times New Roman" w:hAnsi="Times New Roman" w:cs="Times New Roman"/>
          <w:lang w:val="tr-TR"/>
        </w:rPr>
      </w:pP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C</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x</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den>
          </m:f>
          <m:r>
            <m:rPr>
              <m:sty m:val="p"/>
            </m:rPr>
            <w:rPr>
              <w:rFonts w:ascii="Cambria Math" w:hAnsi="Cambria Math" w:cs="Cambria Math"/>
              <w:lang w:val="tr-TR"/>
            </w:rPr>
            <w:t xml:space="preserve">     ⟹     x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e>
            <m:sup>
              <m:r>
                <m:rPr>
                  <m:sty m:val="p"/>
                </m:rPr>
                <w:rPr>
                  <w:rFonts w:ascii="Cambria Math" w:hAnsi="Cambria Math" w:cs="Cambria Math"/>
                  <w:lang w:val="tr-TR"/>
                </w:rPr>
                <w:t xml:space="preserve">1/2</w:t>
              </m:r>
            </m:sup>
          </m:sSup>
        </m:oMath>
      </m:oMathPara>
    </w:p>
    <w:p>
      <w:pPr>
        <w:jc w:val="both"/>
        <w:rPr>
          <w:rFonts w:ascii="Times New Roman" w:hAnsi="Times New Roman" w:cs="Times New Roman"/>
          <w:lang w:val="tr-TR"/>
        </w:rPr>
      </w:pPr>
      <w:r>
        <w:rPr>
          <w:rFonts w:ascii="Times New Roman" w:hAnsi="Times New Roman" w:cs="Times New Roman"/>
          <w:lang w:val="tr-TR"/>
        </w:rPr>
        <w:t xml:space="preserve">Zayıf asit çok az iyonlaştığı için C</w:t>
      </w:r>
      <w:r>
        <w:rPr>
          <w:rFonts w:ascii="Times New Roman" w:hAnsi="Times New Roman" w:cs="Times New Roman"/>
          <w:lang w:val="tr-TR"/>
          <w:vertAlign w:val="subscript"/>
        </w:rPr>
        <w:t xml:space="preserve">a</w:t>
      </w:r>
      <w:r>
        <w:rPr>
          <w:rFonts w:ascii="Times New Roman" w:hAnsi="Times New Roman" w:cs="Times New Roman"/>
          <w:lang w:val="tr-TR"/>
        </w:rPr>
        <w:t xml:space="preserve"> − x ≈ C</w:t>
      </w:r>
      <w:r>
        <w:rPr>
          <w:rFonts w:ascii="Times New Roman" w:hAnsi="Times New Roman" w:cs="Times New Roman"/>
          <w:lang w:val="tr-TR"/>
          <w:vertAlign w:val="subscript"/>
        </w:rPr>
        <w:t xml:space="preserve">a</w:t>
      </w:r>
      <w:r>
        <w:rPr>
          <w:rFonts w:ascii="Times New Roman" w:hAnsi="Times New Roman" w:cs="Times New Roman"/>
          <w:lang w:val="tr-TR"/>
        </w:rPr>
        <w:t xml:space="preserve"> kabul edilebilir. Bu ihmal, asidin başlangıç derişiminin K</w:t>
      </w:r>
      <w:r>
        <w:rPr>
          <w:rFonts w:ascii="Times New Roman" w:hAnsi="Times New Roman" w:cs="Times New Roman"/>
          <w:lang w:val="tr-TR"/>
          <w:vertAlign w:val="subscript"/>
        </w:rPr>
        <w:t xml:space="preserve">a</w:t>
      </w:r>
      <w:r>
        <w:rPr>
          <w:rFonts w:ascii="Times New Roman" w:hAnsi="Times New Roman" w:cs="Times New Roman"/>
          <w:lang w:val="tr-TR"/>
        </w:rPr>
        <w:t xml:space="preserve"> değerine oranı 100’den büyükse (C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büyük bir hataya yol açmaz. Monofonksiyonel zayıf bazlar için de aynı yol izlenir: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√(K</w:t>
      </w:r>
      <w:r>
        <w:rPr>
          <w:rFonts w:ascii="Times New Roman" w:hAnsi="Times New Roman" w:cs="Times New Roman"/>
          <w:lang w:val="tr-TR"/>
          <w:vertAlign w:val="subscript"/>
        </w:rPr>
        <w:t xml:space="preserve">b</w:t>
      </w:r>
      <w:r>
        <w:rPr>
          <w:rFonts w:ascii="Times New Roman" w:hAnsi="Times New Roman" w:cs="Times New Roman"/>
          <w:lang w:val="tr-TR"/>
        </w:rPr>
        <w:t xml:space="preserve">·C</w:t>
      </w:r>
      <w:r>
        <w:rPr>
          <w:rFonts w:ascii="Times New Roman" w:hAnsi="Times New Roman" w:cs="Times New Roman"/>
          <w:lang w:val="tr-TR"/>
          <w:vertAlign w:val="subscript"/>
        </w:rPr>
        <w:t xml:space="preserve">b</w:t>
      </w:r>
      <w:r>
        <w:rPr>
          <w:rFonts w:ascii="Times New Roman" w:hAnsi="Times New Roman" w:cs="Times New Roman"/>
          <w:lang w:val="tr-TR"/>
        </w:rPr>
        <w:t xml:space="preserve">) (C</w:t>
      </w:r>
      <w:r>
        <w:rPr>
          <w:rFonts w:ascii="Times New Roman" w:hAnsi="Times New Roman" w:cs="Times New Roman"/>
          <w:lang w:val="tr-TR"/>
          <w:vertAlign w:val="subscript"/>
        </w:rPr>
        <w:t xml:space="preserve">b</w:t>
      </w:r>
      <w:r>
        <w:rPr>
          <w:rFonts w:ascii="Times New Roman" w:hAnsi="Times New Roman" w:cs="Times New Roman"/>
          <w:lang w:val="tr-TR"/>
        </w:rPr>
        <w:t xml:space="preserve">/K</w:t>
      </w:r>
      <w:r>
        <w:rPr>
          <w:rFonts w:ascii="Times New Roman" w:hAnsi="Times New Roman" w:cs="Times New Roman"/>
          <w:lang w:val="tr-TR"/>
          <w:vertAlign w:val="subscript"/>
        </w:rPr>
        <w:t xml:space="preserve">b</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Kuvvetli ve zayıf asit/baz çözeltilerinde pH hesaplamalarının benzer ve farklı yönleri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Kuvvetli ve zayıf asit/baz çözeltilerinde pH hesaplamalarının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Kuvvetli asit / baz</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Zayıf asit / baz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İyonlaşma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Tamamen (→)</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Kısmen (⇌), dengede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 C</w:t>
            </w:r>
            <w:r>
              <w:rPr>
                <w:rFonts w:ascii="Times New Roman" w:hAnsi="Times New Roman" w:cs="Times New Roman"/>
                <w:lang w:val="tr-TR"/>
                <w:vertAlign w:val="subscript"/>
              </w:rPr>
              <w:t xml:space="preserve">b</w:t>
            </w:r>
            <w:r>
              <w:rPr>
                <w:rFonts w:ascii="Times New Roman" w:hAnsi="Times New Roman" w:cs="Times New Roman"/>
                <w:lang w:val="tr-TR"/>
              </w:rPr>
              <w:t xml:space="preserve"> (monofonksiyonel)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Gerekli veri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derişim</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İhmal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 ve C − x ≈ C</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derişimde pH</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küçük, bazlarda daha büyük</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büyük, bazlarda daha küçük</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25 °C’de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(log 5 = 0,70)</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kuvvetli asittir, tamamen iyonlaşır: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0,050 mol/L = 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2 − 0,70 = 1,30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25 °C’de 0,0050 M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pH değerini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Ba(OH)</w:t>
      </w:r>
      <w:r>
        <w:rPr>
          <w:rFonts w:ascii="Times New Roman" w:hAnsi="Times New Roman" w:cs="Times New Roman"/>
          <w:vertAlign w:val="subscript"/>
          <w:lang w:val="tr-TR"/>
        </w:rPr>
        <w:t xml:space="preserve">2</w:t>
      </w:r>
      <w:r>
        <w:rPr>
          <w:rFonts w:ascii="Times New Roman" w:hAnsi="Times New Roman" w:cs="Times New Roman"/>
          <w:lang w:val="tr-TR"/>
        </w:rPr>
        <w:t xml:space="preserve"> kuvvetli ve polifonksiyonel bir bazdır: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 · 0,0050 = 0,010 mol/L    pOH = 2    pH = 14 − 2 = 12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25 °C’de 0,050 M HCOOH çözeltisinin pH değerini ve iyonlaşma yüzdesini hesaplayınız. (K</w:t>
      </w:r>
      <w:r>
        <w:rPr>
          <w:rFonts w:ascii="Times New Roman" w:hAnsi="Times New Roman" w:cs="Times New Roman"/>
          <w:lang w:val="tr-TR"/>
          <w:vertAlign w:val="subscript"/>
        </w:rPr>
        <w:t xml:space="preserve">a</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log 3 = 0,48)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 0,050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 2,8·10</w:t>
      </w:r>
      <w:r>
        <w:rPr>
          <w:rFonts w:ascii="Times New Roman" w:hAnsi="Times New Roman" w:cs="Times New Roman"/>
          <w:lang w:val="tr-TR"/>
          <w:vertAlign w:val="superscript"/>
        </w:rPr>
        <w:t xml:space="preserve">2</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olduğundan C</w:t>
      </w:r>
      <w:r>
        <w:rPr>
          <w:rFonts w:ascii="Times New Roman" w:hAnsi="Times New Roman" w:cs="Times New Roman"/>
          <w:lang w:val="tr-TR"/>
          <w:vertAlign w:val="subscript"/>
        </w:rPr>
        <w:t xml:space="preserve">a</w:t>
      </w:r>
      <w:r>
        <w:rPr>
          <w:rFonts w:ascii="Times New Roman" w:hAnsi="Times New Roman" w:cs="Times New Roman"/>
          <w:lang w:val="tr-TR"/>
        </w:rPr>
        <w:t xml:space="preserve"> − x ≈ C</w:t>
      </w:r>
      <w:r>
        <w:rPr>
          <w:rFonts w:ascii="Times New Roman" w:hAnsi="Times New Roman" w:cs="Times New Roman"/>
          <w:lang w:val="tr-TR"/>
          <w:vertAlign w:val="subscript"/>
        </w:rPr>
        <w:t xml:space="preserve">a</w:t>
      </w:r>
      <w:r>
        <w:rPr>
          <w:rFonts w:ascii="Times New Roman" w:hAnsi="Times New Roman" w:cs="Times New Roman"/>
          <w:lang w:val="tr-TR"/>
        </w:rPr>
        <w:t xml:space="preserve"> kabul edilebilir.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 0,050) =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3 − 0,48 = 2,52        İyonlaşma yüzdesi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0,050) · 100 = %6,0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25 °C’de 0,20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√3,6 ≈ 1,90, log 1,90 = 0,28)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 0,20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0,20) = √(3,6·10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1,90·10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pOH = 3 − 0,28 = 2,72        pH = 14 − 2,72 = 11,28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25 °C’de 0,050 M HA zayıf asit çözeltisinin pH değeri 3,0 olarak ölçülmüştür. HA’nın asitlik sabitini (K</w:t>
      </w:r>
      <w:r>
        <w:rPr>
          <w:rFonts w:ascii="Times New Roman" w:hAnsi="Times New Roman" w:cs="Times New Roman"/>
          <w:vertAlign w:val="subscript"/>
          <w:lang w:val="tr-TR"/>
        </w:rPr>
        <w:t xml:space="preserve">a</w:t>
      </w:r>
      <w:r>
        <w:rPr>
          <w:rFonts w:ascii="Times New Roman" w:hAnsi="Times New Roman" w:cs="Times New Roman"/>
          <w:lang w:val="tr-TR"/>
        </w:rPr>
        <w:t xml:space="preserve">)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[HA] ≈ 0,050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0,050 = 2,0·10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Aşağıdaki çözeltilerin 25 °C’deki pH değerlerini hesaplayarak asit ve bazların kuvvetlerini karşılaştırınız.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0,0010 M HCl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NaOH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HCN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6,2·10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√62 ≈ 7,87, log 7,87 = 0,90). Bu çözeltinin pH’sini aynı derişimdeki HCl çözeltisinin pH’si ile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25 °C’de pH değeri 11,0 olan 0,10 M bir zayıf baz çözeltisinin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ve zayıf asit-baz çözeltilerinin pH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