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görseli bulunamadı; yayınevi vektörel çizmeli.</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590805"/>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59080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koşulları değiştirilen bir denge sistemi, bu değişikliği kısmen karşılayan yönde kayar. Derişim, hacim (basınç) ve sıcaklık dengeyi kaydırabilir; denge sabitini yalnızca sıcaklık değiştirir. Katalizör dengeye daha kısa sürede ulaşılmasını sağlar ancak dengeyi kaydırmaz.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terazi ya da tahterevalli benzetmesiyle dengeye madde eklenmesi ve sistemin karşı yöne kayması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2328878629 (vektör) — Effects of stress factors on chemical equilibrium shifts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Günlük hayattan maddelerin yerleştirildiği renkli pH skalası (vektörel).</w:t>
            </w:r>
          </w:p>
          <w:p>
            <w:pPr>
              <w:jc w:val="both"/>
              <w:rPr>
                <w:rFonts w:ascii="Times New Roman" w:hAnsi="Times New Roman" w:cs="Times New Roman"/>
                <w:lang w:val="tr-TR"/>
              </w:rPr>
            </w:pPr>
            <w:r>
              <w:rPr>
                <w:rFonts w:ascii="Times New Roman" w:hAnsi="Times New Roman" w:cs="Times New Roman"/>
                <w:lang w:val="tr-TR"/>
              </w:rPr>
              <w:t xml:space="preserve">Shutter ID: 2715446197 (vektör) — pH scale diagram with acidic, neutral and alkaline ranges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Bir asit ya da baz çözeltisinin bilinmeyen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 erlenmayer ve fenolftaleinli pembe çözeltiyi gösteren titrasyon düzeneği fotoğrafı.</w:t>
            </w:r>
          </w:p>
          <w:p>
            <w:pPr>
              <w:jc w:val="both"/>
              <w:rPr>
                <w:rFonts w:ascii="Times New Roman" w:hAnsi="Times New Roman" w:cs="Times New Roman"/>
                <w:lang w:val="tr-TR"/>
              </w:rPr>
            </w:pPr>
            <w:r>
              <w:rPr>
                <w:rFonts w:ascii="Times New Roman" w:hAnsi="Times New Roman" w:cs="Times New Roman"/>
                <w:lang w:val="tr-TR"/>
              </w:rPr>
              <w:t xml:space="preserve">Shutter ID: 2303124117 (fotoğraf) — Acid-base titration in laboratory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2964705" cy="2519999"/>
                  <wp:docPr id="900004" name="Picture 900004"/>
                  <wp:cNvGraphicFramePr>
                    <a:graphicFrameLocks noChangeAspect="1"/>
                  </wp:cNvGraphicFramePr>
                  <a:graphic>
                    <a:graphicData uri="http://schemas.openxmlformats.org/drawingml/2006/picture">
                      <pic:pic>
                        <pic:nvPicPr>
                          <pic:cNvPr id="0" name="1941187255_d.jpg"/>
                          <pic:cNvPicPr/>
                        </pic:nvPicPr>
                        <pic:blipFill>
                          <a:blip r:embed="rId11"/>
                          <a:stretch>
                            <a:fillRect/>
                          </a:stretch>
                        </pic:blipFill>
                        <pic:spPr>
                          <a:xfrm>
                            <a:off x="0" y="0"/>
                            <a:ext cx="2964705" cy="2519999"/>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Dibinde katı bulunan bir beher ve büyüteç içinde katı yüzeyinden ayrılan ve yeniden bağlanan iyonları gösteren infografik (vektörel).</w:t>
            </w:r>
          </w:p>
          <w:p>
            <w:pPr>
              <w:jc w:val="both"/>
              <w:rPr>
                <w:rFonts w:ascii="Times New Roman" w:hAnsi="Times New Roman" w:cs="Times New Roman"/>
                <w:lang w:val="tr-TR"/>
              </w:rPr>
            </w:pPr>
            <w:r>
              <w:rPr>
                <w:rFonts w:ascii="Times New Roman" w:hAnsi="Times New Roman" w:cs="Times New Roman"/>
                <w:lang w:val="tr-TR"/>
              </w:rPr>
              <w:t xml:space="preserve">Shutter ID: 1941187255 (vektör) — Solubility equilibrium, rates of dissolution and precipitation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 (e-içerik türü: Etkileşimli İçerik/Doküman): Öğrencilerin tepkime denge sürecindeki ileri ve geri tepkime hızları ile ilgili tahminlerini oluşturup sonuç çıkarabilecekleri animasyon veya simülasyon hazırlanır. </w:t>
      </w:r>
      <w:r>
        <w:rPr>
          <w:rFonts w:ascii="Times New Roman" w:hAnsi="Times New Roman" w:cs="Times New Roman"/>
          <w:lang w:val="tr-TR"/>
        </w:rPr>
        <w:t xml:space="preserve">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(Simülasyon)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76149"/>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76149"/>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01244"/>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38354" cy="2301244"/>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dijital/Kim11_tema-2-dijital-unite-sonu-sorulari.docx.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