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2.2.4. Kuvvetli Asit-Zayıf Asit ve Kuvvetli Baz-Zayıf Baz Sulu Çözeltilerindeki pH Hesaplamaları</w:t>
      </w:r>
    </w:p>
    <w:p>
      <w:pPr>
        <w:jc w:val="both"/>
        <w:rPr>
          <w:rFonts w:ascii="Times New Roman" w:hAnsi="Times New Roman" w:cs="Times New Roman"/>
          <w:lang w:val="tr-TR"/>
        </w:rPr>
      </w:pPr>
      <w:r>
        <w:rPr>
          <w:rFonts w:ascii="Times New Roman" w:hAnsi="Times New Roman" w:cs="Times New Roman"/>
          <w:lang w:val="tr-TR"/>
        </w:rPr>
        <w:t xml:space="preserve">Akvaryum suyunun, havuz suyunun ya da tarım toprağının pH değeri düzenli olarak ölçülür ve gerektiğinde ayarlanır (Görsel A). Bir çözeltiye ne kadar asit ya da baz eklenmesi gerektiğine karar verebilmek için çözeltinin pH değerinin önceden hesaplanabilmesi gerekir. Aynı derişimdeki kuvvetli ve zayıf asit çözeltilerinin pH değerleri aynı yöntemle mi hesaplanır? Bu sorunun cevabını bir etkinlik yaparak keşfediniz. Analiz ve Keşif Atölyesi 2.9.’da derişimleri aynı olan kuvvetli ve zayıf asit-baz çözeltilerinin ölçülen pH değerlerinden yola çıkarak iyon derişimlerini hesaplayacak, bu hesaplamaların ortak ve farklı yönlerini listeleyerek karşılaştıracaksınız. Tablodaki verileri dikkatle okuyup yorumlarken veri okuryazarlığınızı, çalışmanızı kendi hazırladığınız bir plana göre adım adım yürütürken de öz düzenleme becerinizi ve çalışkanlık değerinizi geliştireceksiniz.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akvaryumdan alınan su örneğinin pH test kiti ya da dijital pH metre ile ölçülmesi.</w:t>
            </w:r>
          </w:p>
          <w:p>
            <w:pPr>
              <w:jc w:val="both"/>
              <w:rPr>
                <w:rFonts w:ascii="Times New Roman" w:hAnsi="Times New Roman" w:cs="Times New Roman"/>
                <w:lang w:val="tr-TR"/>
              </w:rPr>
            </w:pPr>
            <w:r>
              <w:rPr>
                <w:rFonts w:ascii="Times New Roman" w:hAnsi="Times New Roman" w:cs="Times New Roman"/>
                <w:lang w:val="tr-TR"/>
              </w:rPr>
              <w:t xml:space="preserve">Shutter ID: 2229399895 (fotoğraf) — Hands holding pH test in front of freshwater aquarium</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Akvaryum suyunun pH ölçümü</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Hedefinize ulaşmak için bir çalışma planı yapınız ve bu planı uygulayınız. Aşağıdaki tabloda 25 °C’de derişimleri aynı olan bazı çözeltilerin ölçülen pH değerleri verilmiştir. Okulunuzda imkân varsa bu çözeltileri hazırlayarak pH değerlerini kendiniz ölçebilirsiniz. Planınızda hangi verileri kullanacağınızı, hesaplamaları hangi sırayla yapacağınızı ve her adıma ne kadar zaman ayıracağınızı belirleyiniz; etkinlik sonunda planınıza ne ölçüde uyduğunuzu değerlendiriniz.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1800"/>
        <w:gridCol w:w="2200"/>
        <w:gridCol w:w="2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(kuvvetli asit)</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(zayıf asit)</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(kuvvetli baz)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450"/>
        </w:trP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(zayıf baz)</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Ölçülen pH değerlerini kullanarak her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 derişimlerini hesaplayıp tabloya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çözeltisindeki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asidin başlangıç derişimini karşılaştırınız.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çözeltisi için aynı karşılaştırmayı yapınız. Ne fark ediyorsunuz? Benzer karşılaştırmayı NaOH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çözeltilerindeki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ile bazların başlangıç derişimleri arasında da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Derişimleri aynı olan kuvvetli asit ve zayıf asit çözeltilerinin pH değerine ilişkin özellikleri belirleyiniz. Aynı işlemi derişimleri aynı olan kuvvetli baz ve zayıf baz çözeltileri için de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için K</w:t>
      </w:r>
      <w:r>
        <w:rPr>
          <w:rFonts w:ascii="Times New Roman" w:hAnsi="Times New Roman" w:cs="Times New Roman"/>
          <w:lang w:val="tr-TR"/>
          <w:vertAlign w:val="subscript"/>
        </w:rPr>
        <w:t xml:space="preserve">a</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değerini kullanarak 0,10 M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çözeltisinin pH değerini hesaplamaya çalışınız. Aynı hesaplamayı K</w:t>
      </w:r>
      <w:r>
        <w:rPr>
          <w:rFonts w:ascii="Times New Roman" w:hAnsi="Times New Roman" w:cs="Times New Roman"/>
          <w:lang w:val="tr-TR"/>
          <w:vertAlign w:val="subscript"/>
        </w:rPr>
        <w:t xml:space="preserve">b</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değerini kullanarak 0,10 M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için de yapınız. Hesapladığınız değerleri ölçülen değerlerle karşılaştırınız. Hesaplamanızda hangi yaklaşımları yaptığınızı yazınız ve bu yaklaşımların hangi koşulda büyük bir hataya yol açmayacağını asit ya da bazın derişimini K</w:t>
      </w:r>
      <w:r>
        <w:rPr>
          <w:rFonts w:ascii="Times New Roman" w:hAnsi="Times New Roman" w:cs="Times New Roman"/>
          <w:lang w:val="tr-TR"/>
          <w:vertAlign w:val="subscript"/>
        </w:rPr>
        <w:t xml:space="preserve">a</w:t>
      </w:r>
      <w:r>
        <w:rPr>
          <w:rFonts w:ascii="Times New Roman" w:hAnsi="Times New Roman" w:cs="Times New Roman"/>
          <w:lang w:val="tr-TR"/>
        </w:rPr>
        <w:t xml:space="preserve"> ya da K</w:t>
      </w:r>
      <w:r>
        <w:rPr>
          <w:rFonts w:ascii="Times New Roman" w:hAnsi="Times New Roman" w:cs="Times New Roman"/>
          <w:lang w:val="tr-TR"/>
          <w:vertAlign w:val="subscript"/>
        </w:rPr>
        <w:t xml:space="preserve">b</w:t>
      </w:r>
      <w:r>
        <w:rPr>
          <w:rFonts w:ascii="Times New Roman" w:hAnsi="Times New Roman" w:cs="Times New Roman"/>
          <w:lang w:val="tr-TR"/>
        </w:rPr>
        <w:t xml:space="preserve"> değeriyle karşılaştırarak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Kuvvetli asit-zayıf asit çözeltilerinin pH hesaplamalarına ilişkin benzerlikleri ve farklılıkları listeleyiniz. Aynı karşılaştırmayı kuvvetli baz-zayıf baz çözeltileri için de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Benzerlikler</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Farklılıklar</w:t>
            </w:r>
          </w:p>
        </w:tc>
      </w:tr>
      <w:tr>
        <w:trPr>
          <w:trHeight w:val="110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Kuvvetli asit – Zayıf asit</w:t>
            </w:r>
          </w:p>
        </w:tc>
        <w:tc>
          <w:tcPr>
            <w:tcW w:w="32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r>
      <w:tr>
        <w:trPr>
          <w:trHeight w:val="110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Kuvvetli baz – Zayıf baz</w:t>
            </w:r>
          </w:p>
        </w:tc>
        <w:tc>
          <w:tcPr>
            <w:tcW w:w="32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Çözeltilerinde pH: Kuvvetli asit ve bazların suda tamamen iyonlaştığı kabul edilir; iyonlaşma tepkimeleri tek yönlü olduğundan bu çözeltiler için denge bağıntısı yazılmaz. Monofonksiyonel kuvvetli bir asidin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 derişimi asidin derişimine eşittir: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C</w:t>
      </w:r>
      <w:r>
        <w:rPr>
          <w:rFonts w:ascii="Times New Roman" w:hAnsi="Times New Roman" w:cs="Times New Roman"/>
          <w:lang w:val="tr-TR"/>
          <w:vertAlign w:val="subscript"/>
        </w:rPr>
        <w:t xml:space="preserve">a</w:t>
      </w:r>
      <w:r>
        <w:rPr>
          <w:rFonts w:ascii="Times New Roman" w:hAnsi="Times New Roman" w:cs="Times New Roman"/>
          <w:lang w:val="tr-TR"/>
        </w:rPr>
        <w:t xml:space="preserve">. Monofonksiyonel kuvvetli bir bazın çözeltisinde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C</w:t>
      </w:r>
      <w:r>
        <w:rPr>
          <w:rFonts w:ascii="Times New Roman" w:hAnsi="Times New Roman" w:cs="Times New Roman"/>
          <w:lang w:val="tr-TR"/>
          <w:vertAlign w:val="subscript"/>
        </w:rPr>
        <w:t xml:space="preserve">b</w:t>
      </w:r>
      <w:r>
        <w:rPr>
          <w:rFonts w:ascii="Times New Roman" w:hAnsi="Times New Roman" w:cs="Times New Roman"/>
          <w:lang w:val="tr-TR"/>
        </w:rPr>
        <w:t xml:space="preserve">’dir. Örneğin 25 °C’de 0,010 M HNO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0,010 mol/L ve pH = 2’dir. Aynı sıcaklıkta 0,010 M KOH çözeltisinde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0,010 mol/L, pOH = 2 ve pH = 12’dir. Bu hesaplamalarda suyun otoiyonizasyonundan gelen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ihmal edilir. Asit ya da baz derişimi 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mol/L’den çok büyük olduğunda sudan gelen iyonlar asit ya da bazdan gelen iyonların yanında çok az kaldığı için bu ihmal büyük bir hataya yol açmaz.</w:t>
      </w:r>
    </w:p>
    <w:p>
      <w:pPr>
        <w:jc w:val="both"/>
        <w:rPr>
          <w:rFonts w:ascii="Times New Roman" w:hAnsi="Times New Roman" w:cs="Times New Roman"/>
          <w:lang w:val="tr-TR"/>
        </w:rPr>
      </w:pPr>
      <w:r>
        <w:rPr>
          <w:rFonts w:ascii="Times New Roman" w:hAnsi="Times New Roman" w:cs="Times New Roman"/>
          <w:lang w:val="tr-TR"/>
        </w:rPr>
        <w:t xml:space="preserve">Zayıf Asit ve Zayıf Baz Çözeltilerinde pH: Zayıf asitler kısmen iyonlaştığı için çözeltideki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asidin başlangıç derişiminden çok küçüktür ve yalnızca asidin derişiminden bulunamaz; hesaplamada asitlik sabiti (K</w:t>
      </w:r>
      <w:r>
        <w:rPr>
          <w:rFonts w:ascii="Times New Roman" w:hAnsi="Times New Roman" w:cs="Times New Roman"/>
          <w:lang w:val="tr-TR"/>
          <w:vertAlign w:val="subscript"/>
        </w:rPr>
        <w:t xml:space="preserve">a</w:t>
      </w:r>
      <w:r>
        <w:rPr>
          <w:rFonts w:ascii="Times New Roman" w:hAnsi="Times New Roman" w:cs="Times New Roman"/>
          <w:lang w:val="tr-TR"/>
        </w:rPr>
        <w:t xml:space="preserve">) kullanılır. Başlangıç derişimi C</w:t>
      </w:r>
      <w:r>
        <w:rPr>
          <w:rFonts w:ascii="Times New Roman" w:hAnsi="Times New Roman" w:cs="Times New Roman"/>
          <w:lang w:val="tr-TR"/>
          <w:vertAlign w:val="subscript"/>
        </w:rPr>
        <w:t xml:space="preserve">a</w:t>
      </w:r>
      <w:r>
        <w:rPr>
          <w:rFonts w:ascii="Times New Roman" w:hAnsi="Times New Roman" w:cs="Times New Roman"/>
          <w:lang w:val="tr-TR"/>
        </w:rPr>
        <w:t xml:space="preserve"> olan monofonksiyonel zayıf bir HA asidinin çözeltisinde x mol/L asit iyonlaşırsa:</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900"/>
        <w:gridCol w:w="1700"/>
        <w:gridCol w:w="1900"/>
        <w:gridCol w:w="1900"/>
      </w:tblGrid>
      <w:tr>
        <w:tc>
          <w:tcPr>
            <w:tcW w:w="1600" w:type="dxa"/>
            <w:shd w:val="clear" w:color="auto" w:fill="D9E2F3"/>
            <w:vAlign w:val="center"/>
          </w:tcPr>
          <w:p>
            <w:pPr>
              <w:jc w:val="center"/>
              <w:rPr>
                <w:rFonts w:ascii="Times New Roman" w:hAnsi="Times New Roman" w:cs="Times New Roman"/>
                <w:b/>
                <w:bCs/>
                <w:lang w:val="tr-TR"/>
              </w:rPr>
            </w:pP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HA(suda)</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 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O(s) ⇌</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(suda)</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 A</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(suda)</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Başlangıç</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Değişim</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 x</w:t>
            </w:r>
          </w:p>
        </w:tc>
        <w:tc>
          <w:tcPr>
            <w:tcW w:w="17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p>
        </w:tc>
      </w:tr>
    </w:tbl>
    <w:p>
      <w:pPr>
        <w:jc w:val="both"/>
        <w:rPr>
          <w:rFonts w:ascii="Times New Roman" w:hAnsi="Times New Roman" w:cs="Times New Roman"/>
          <w:lang w:val="tr-TR"/>
        </w:rPr>
      </w:pP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x</w:t>
                  </m:r>
                </m:e>
                <m:sup>
                  <m:r>
                    <m:rPr>
                      <m:sty m:val="p"/>
                    </m:rPr>
                    <w:rPr>
                      <w:rFonts w:ascii="Cambria Math" w:hAnsi="Cambria Math" w:cs="Cambria Math"/>
                      <w:lang w:val="tr-TR"/>
                    </w:rPr>
                    <w:t xml:space="preserve">2</w:t>
                  </m:r>
                </m:sup>
              </m:sSup>
            </m:num>
            <m:den>
              <m:r>
                <m:rPr>
                  <m:sty m:val="p"/>
                </m:rPr>
                <w:rPr>
                  <w:rFonts w:ascii="Cambria Math" w:hAnsi="Cambria Math" w:cs="Cambria Math"/>
                  <w:lang w:val="tr-TR"/>
                </w:rPr>
                <w:t xml:space="preserve">C</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x</w:t>
              </m:r>
            </m:den>
          </m:f>
          <m:r>
            <m:rPr>
              <m:sty m:val="p"/>
            </m:rPr>
            <w:rPr>
              <w:rFonts w:ascii="Cambria Math" w:hAnsi="Cambria Math" w:cs="Cambria Math"/>
              <w:lang w:val="tr-TR"/>
            </w:rPr>
            <w:t xml:space="preserve"> ≈ </w:t>
          </m:r>
          <m:f>
            <m:num>
              <m:sSup>
                <m:e>
                  <m:r>
                    <m:rPr>
                      <m:sty m:val="p"/>
                    </m:rPr>
                    <w:rPr>
                      <w:rFonts w:ascii="Cambria Math" w:hAnsi="Cambria Math" w:cs="Cambria Math"/>
                      <w:lang w:val="tr-TR"/>
                    </w:rPr>
                    <w:t xml:space="preserve">x</w:t>
                  </m:r>
                </m:e>
                <m:sup>
                  <m:r>
                    <m:rPr>
                      <m:sty m:val="p"/>
                    </m:rPr>
                    <w:rPr>
                      <w:rFonts w:ascii="Cambria Math" w:hAnsi="Cambria Math" w:cs="Cambria Math"/>
                      <w:lang w:val="tr-TR"/>
                    </w:rPr>
                    <w:t xml:space="preserve">2</w:t>
                  </m:r>
                </m:sup>
              </m:sSup>
            </m:num>
            <m:den>
              <m:sSub>
                <m:e>
                  <m:r>
                    <m:rPr>
                      <m:sty m:val="p"/>
                    </m:rPr>
                    <w:rPr>
                      <w:rFonts w:ascii="Cambria Math" w:hAnsi="Cambria Math" w:cs="Cambria Math"/>
                      <w:lang w:val="tr-TR"/>
                    </w:rPr>
                    <w:t xml:space="preserve">C</w:t>
                  </m:r>
                </m:e>
                <m:sub>
                  <m:r>
                    <m:rPr>
                      <m:sty m:val="p"/>
                    </m:rPr>
                    <w:rPr>
                      <w:rFonts w:ascii="Cambria Math" w:hAnsi="Cambria Math" w:cs="Cambria Math"/>
                      <w:lang w:val="tr-TR"/>
                    </w:rPr>
                    <w:t xml:space="preserve">a</w:t>
                  </m:r>
                </m:sub>
              </m:sSub>
            </m:den>
          </m:f>
          <m:r>
            <m:rPr>
              <m:sty m:val="p"/>
            </m:rPr>
            <w:rPr>
              <w:rFonts w:ascii="Cambria Math" w:hAnsi="Cambria Math" w:cs="Cambria Math"/>
              <w:lang w:val="tr-TR"/>
            </w:rPr>
            <w:t xml:space="preserve">     ⟹     x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w:t>
              </m:r>
              <m:sSub>
                <m:e>
                  <m:r>
                    <m:rPr>
                      <m:sty m:val="p"/>
                    </m:rPr>
                    <w:rPr>
                      <w:rFonts w:ascii="Cambria Math" w:hAnsi="Cambria Math" w:cs="Cambria Math"/>
                      <w:lang w:val="tr-TR"/>
                    </w:rPr>
                    <w:t xml:space="preserve">C</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w:t>
              </m:r>
            </m:e>
            <m:sup>
              <m:r>
                <m:rPr>
                  <m:sty m:val="p"/>
                </m:rPr>
                <w:rPr>
                  <w:rFonts w:ascii="Cambria Math" w:hAnsi="Cambria Math" w:cs="Cambria Math"/>
                  <w:lang w:val="tr-TR"/>
                </w:rPr>
                <w:t xml:space="preserve">1/2</w:t>
              </m:r>
            </m:sup>
          </m:sSup>
        </m:oMath>
      </m:oMathPara>
    </w:p>
    <w:p>
      <w:pPr>
        <w:jc w:val="both"/>
        <w:rPr>
          <w:rFonts w:ascii="Times New Roman" w:hAnsi="Times New Roman" w:cs="Times New Roman"/>
          <w:lang w:val="tr-TR"/>
        </w:rPr>
      </w:pPr>
      <w:r>
        <w:rPr>
          <w:rFonts w:ascii="Times New Roman" w:hAnsi="Times New Roman" w:cs="Times New Roman"/>
          <w:lang w:val="tr-TR"/>
        </w:rPr>
        <w:t xml:space="preserve">Zayıf asit çok az iyonlaştığı için C</w:t>
      </w:r>
      <w:r>
        <w:rPr>
          <w:rFonts w:ascii="Times New Roman" w:hAnsi="Times New Roman" w:cs="Times New Roman"/>
          <w:lang w:val="tr-TR"/>
          <w:vertAlign w:val="subscript"/>
        </w:rPr>
        <w:t xml:space="preserve">a</w:t>
      </w:r>
      <w:r>
        <w:rPr>
          <w:rFonts w:ascii="Times New Roman" w:hAnsi="Times New Roman" w:cs="Times New Roman"/>
          <w:lang w:val="tr-TR"/>
        </w:rPr>
        <w:t xml:space="preserve"> − x ≈ C</w:t>
      </w:r>
      <w:r>
        <w:rPr>
          <w:rFonts w:ascii="Times New Roman" w:hAnsi="Times New Roman" w:cs="Times New Roman"/>
          <w:lang w:val="tr-TR"/>
          <w:vertAlign w:val="subscript"/>
        </w:rPr>
        <w:t xml:space="preserve">a</w:t>
      </w:r>
      <w:r>
        <w:rPr>
          <w:rFonts w:ascii="Times New Roman" w:hAnsi="Times New Roman" w:cs="Times New Roman"/>
          <w:lang w:val="tr-TR"/>
        </w:rPr>
        <w:t xml:space="preserve"> kabul edilebilir. Bu ihmal, asidin başlangıç derişiminin K</w:t>
      </w:r>
      <w:r>
        <w:rPr>
          <w:rFonts w:ascii="Times New Roman" w:hAnsi="Times New Roman" w:cs="Times New Roman"/>
          <w:lang w:val="tr-TR"/>
          <w:vertAlign w:val="subscript"/>
        </w:rPr>
        <w:t xml:space="preserve">a</w:t>
      </w:r>
      <w:r>
        <w:rPr>
          <w:rFonts w:ascii="Times New Roman" w:hAnsi="Times New Roman" w:cs="Times New Roman"/>
          <w:lang w:val="tr-TR"/>
        </w:rPr>
        <w:t xml:space="preserve"> değerine oranı 100’den büyükse (C</w:t>
      </w:r>
      <w:r>
        <w:rPr>
          <w:rFonts w:ascii="Times New Roman" w:hAnsi="Times New Roman" w:cs="Times New Roman"/>
          <w:lang w:val="tr-TR"/>
          <w:vertAlign w:val="subscript"/>
        </w:rPr>
        <w:t xml:space="preserve">a</w:t>
      </w:r>
      <w:r>
        <w:rPr>
          <w:rFonts w:ascii="Times New Roman" w:hAnsi="Times New Roman" w:cs="Times New Roman"/>
          <w:lang w:val="tr-TR"/>
        </w:rPr>
        <w:t xml:space="preserve">/K</w:t>
      </w:r>
      <w:r>
        <w:rPr>
          <w:rFonts w:ascii="Times New Roman" w:hAnsi="Times New Roman" w:cs="Times New Roman"/>
          <w:lang w:val="tr-TR"/>
          <w:vertAlign w:val="subscript"/>
        </w:rPr>
        <w:t xml:space="preserve">a</w:t>
      </w:r>
      <w:r>
        <w:rPr>
          <w:rFonts w:ascii="Times New Roman" w:hAnsi="Times New Roman" w:cs="Times New Roman"/>
          <w:lang w:val="tr-TR"/>
        </w:rPr>
        <w:t xml:space="preserve"> &gt; 10</w:t>
      </w:r>
      <w:r>
        <w:rPr>
          <w:rFonts w:ascii="Times New Roman" w:hAnsi="Times New Roman" w:cs="Times New Roman"/>
          <w:lang w:val="tr-TR"/>
          <w:vertAlign w:val="superscript"/>
        </w:rPr>
        <w:t xml:space="preserve">2</w:t>
      </w:r>
      <w:r>
        <w:rPr>
          <w:rFonts w:ascii="Times New Roman" w:hAnsi="Times New Roman" w:cs="Times New Roman"/>
          <w:lang w:val="tr-TR"/>
        </w:rPr>
        <w:t xml:space="preserve">) büyük bir hataya yol açmaz. Monofonksiyonel zayıf bazlar için de aynı yol izlenir: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√(K</w:t>
      </w:r>
      <w:r>
        <w:rPr>
          <w:rFonts w:ascii="Times New Roman" w:hAnsi="Times New Roman" w:cs="Times New Roman"/>
          <w:lang w:val="tr-TR"/>
          <w:vertAlign w:val="subscript"/>
        </w:rPr>
        <w:t xml:space="preserve">b</w:t>
      </w:r>
      <w:r>
        <w:rPr>
          <w:rFonts w:ascii="Times New Roman" w:hAnsi="Times New Roman" w:cs="Times New Roman"/>
          <w:lang w:val="tr-TR"/>
        </w:rPr>
        <w:t xml:space="preserve">·C</w:t>
      </w:r>
      <w:r>
        <w:rPr>
          <w:rFonts w:ascii="Times New Roman" w:hAnsi="Times New Roman" w:cs="Times New Roman"/>
          <w:lang w:val="tr-TR"/>
          <w:vertAlign w:val="subscript"/>
        </w:rPr>
        <w:t xml:space="preserve">b</w:t>
      </w:r>
      <w:r>
        <w:rPr>
          <w:rFonts w:ascii="Times New Roman" w:hAnsi="Times New Roman" w:cs="Times New Roman"/>
          <w:lang w:val="tr-TR"/>
        </w:rPr>
        <w:t xml:space="preserve">) (C</w:t>
      </w:r>
      <w:r>
        <w:rPr>
          <w:rFonts w:ascii="Times New Roman" w:hAnsi="Times New Roman" w:cs="Times New Roman"/>
          <w:lang w:val="tr-TR"/>
          <w:vertAlign w:val="subscript"/>
        </w:rPr>
        <w:t xml:space="preserve">b</w:t>
      </w:r>
      <w:r>
        <w:rPr>
          <w:rFonts w:ascii="Times New Roman" w:hAnsi="Times New Roman" w:cs="Times New Roman"/>
          <w:lang w:val="tr-TR"/>
        </w:rPr>
        <w:t xml:space="preserve">/K</w:t>
      </w:r>
      <w:r>
        <w:rPr>
          <w:rFonts w:ascii="Times New Roman" w:hAnsi="Times New Roman" w:cs="Times New Roman"/>
          <w:lang w:val="tr-TR"/>
          <w:vertAlign w:val="subscript"/>
        </w:rPr>
        <w:t xml:space="preserve">b</w:t>
      </w:r>
      <w:r>
        <w:rPr>
          <w:rFonts w:ascii="Times New Roman" w:hAnsi="Times New Roman" w:cs="Times New Roman"/>
          <w:lang w:val="tr-TR"/>
        </w:rPr>
        <w:t xml:space="preserve"> &gt; 10</w:t>
      </w:r>
      <w:r>
        <w:rPr>
          <w:rFonts w:ascii="Times New Roman" w:hAnsi="Times New Roman" w:cs="Times New Roman"/>
          <w:lang w:val="tr-TR"/>
          <w:vertAlign w:val="superscript"/>
        </w:rPr>
        <w:t xml:space="preserve">2</w:t>
      </w:r>
      <w:r>
        <w:rPr>
          <w:rFonts w:ascii="Times New Roman" w:hAnsi="Times New Roman" w:cs="Times New Roman"/>
          <w:lang w:val="tr-TR"/>
        </w:rPr>
        <w:t xml:space="preserve"> ise). Kuvvetli ve zayıf asit/baz çözeltilerinde pH hesaplamalarının benzer ve farklı yönleri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Kuvvetli ve zayıf asit/baz çözeltilerinde pH hesaplamalarının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3300"/>
        <w:gridCol w:w="3300"/>
      </w:tblGrid>
      <w:tr>
        <w:tc>
          <w:tcPr>
            <w:tcW w:w="2400" w:type="dxa"/>
            <w:shd w:val="clear" w:color="auto" w:fill="D9E2F3"/>
            <w:vAlign w:val="center"/>
          </w:tcPr>
          <w:p>
            <w:pPr>
              <w:jc w:val="left"/>
              <w:rPr>
                <w:rFonts w:ascii="Times New Roman" w:hAnsi="Times New Roman" w:cs="Times New Roman"/>
                <w:b/>
                <w:bCs/>
                <w:lang w:val="tr-TR"/>
              </w:rPr>
            </w:pP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Kuvvetli asit / baz</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Zayıf asit / baz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İyonlaşma</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Tamamen (→)</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Kısmen (⇌), dengede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ya 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 C</w:t>
            </w:r>
            <w:r>
              <w:rPr>
                <w:rFonts w:ascii="Times New Roman" w:hAnsi="Times New Roman" w:cs="Times New Roman"/>
                <w:lang w:val="tr-TR"/>
                <w:vertAlign w:val="subscript"/>
              </w:rPr>
              <w:t xml:space="preserve">a</w:t>
            </w:r>
            <w:r>
              <w:rPr>
                <w:rFonts w:ascii="Times New Roman" w:hAnsi="Times New Roman" w:cs="Times New Roman"/>
                <w:lang w:val="tr-TR"/>
              </w:rPr>
              <w:t xml:space="preserve"> ya da = C</w:t>
            </w:r>
            <w:r>
              <w:rPr>
                <w:rFonts w:ascii="Times New Roman" w:hAnsi="Times New Roman" w:cs="Times New Roman"/>
                <w:lang w:val="tr-TR"/>
                <w:vertAlign w:val="subscript"/>
              </w:rPr>
              <w:t xml:space="preserve">b</w:t>
            </w:r>
            <w:r>
              <w:rPr>
                <w:rFonts w:ascii="Times New Roman" w:hAnsi="Times New Roman" w:cs="Times New Roman"/>
                <w:lang w:val="tr-TR"/>
              </w:rPr>
              <w:t xml:space="preserve"> (monofonksiyonel)</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ya da = √(K</w:t>
            </w:r>
            <w:r>
              <w:rPr>
                <w:rFonts w:ascii="Times New Roman" w:hAnsi="Times New Roman" w:cs="Times New Roman"/>
                <w:vertAlign w:val="subscript"/>
                <w:lang w:val="tr-TR"/>
              </w:rPr>
              <w:t xml:space="preserve">b</w:t>
            </w:r>
            <w:r>
              <w:rPr>
                <w:rFonts w:ascii="Times New Roman" w:hAnsi="Times New Roman" w:cs="Times New Roman"/>
                <w:lang w:val="tr-TR"/>
              </w:rPr>
              <w:t xml:space="preserve">·C</w:t>
            </w:r>
            <w:r>
              <w:rPr>
                <w:rFonts w:ascii="Times New Roman" w:hAnsi="Times New Roman" w:cs="Times New Roman"/>
                <w:vertAlign w:val="subscript"/>
                <w:lang w:val="tr-TR"/>
              </w:rPr>
              <w:t xml:space="preserve">b</w:t>
            </w:r>
            <w:r>
              <w:rPr>
                <w:rFonts w:ascii="Times New Roman" w:hAnsi="Times New Roman" w:cs="Times New Roman"/>
                <w:lang w:val="tr-TR"/>
              </w:rPr>
              <w:t xml:space="preserv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Gerekli veri</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derişim</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ve K</w:t>
            </w:r>
            <w:r>
              <w:rPr>
                <w:rFonts w:ascii="Times New Roman" w:hAnsi="Times New Roman" w:cs="Times New Roman"/>
                <w:vertAlign w:val="subscript"/>
                <w:lang w:val="tr-TR"/>
              </w:rPr>
              <w:t xml:space="preserve">a</w:t>
            </w:r>
            <w:r>
              <w:rPr>
                <w:rFonts w:ascii="Times New Roman" w:hAnsi="Times New Roman" w:cs="Times New Roman"/>
                <w:lang w:val="tr-TR"/>
              </w:rPr>
              <w:t xml:space="preserve"> (K</w:t>
            </w:r>
            <w:r>
              <w:rPr>
                <w:rFonts w:ascii="Times New Roman" w:hAnsi="Times New Roman" w:cs="Times New Roman"/>
                <w:vertAlign w:val="subscript"/>
                <w:lang w:val="tr-TR"/>
              </w:rPr>
              <w:t xml:space="preserve">b</w:t>
            </w:r>
            <w:r>
              <w:rPr>
                <w:rFonts w:ascii="Times New Roman" w:hAnsi="Times New Roman" w:cs="Times New Roman"/>
                <w:lang w:val="tr-TR"/>
              </w:rPr>
              <w:t xml:space="preserv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İhmal</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Suyun otoiyonizasyonu</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Suyun otoiyonizasyonu ve C − x ≈ C</w:t>
            </w:r>
          </w:p>
        </w:tc>
      </w:tr>
      <w:t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Aynı derişimde pH</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Asitlerde daha küçük, bazlarda daha büyük</w:t>
            </w:r>
          </w:p>
        </w:tc>
        <w:tc>
          <w:tcPr>
            <w:tcW w:w="33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Asitlerde daha büyük, bazlarda daha küçük</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2.12.</w:t>
      </w:r>
    </w:p>
    <w:p>
      <w:pPr>
        <w:jc w:val="both"/>
        <w:rPr>
          <w:rFonts w:ascii="Times New Roman" w:hAnsi="Times New Roman" w:cs="Times New Roman"/>
          <w:lang w:val="tr-TR"/>
        </w:rPr>
      </w:pPr>
      <w:r>
        <w:rPr>
          <w:rFonts w:ascii="Times New Roman" w:hAnsi="Times New Roman" w:cs="Times New Roman"/>
          <w:lang w:val="tr-TR"/>
        </w:rPr>
        <w:t xml:space="preserve">25 °C’de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değerini hesaplayınız. (log 5 = 0,70)</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kuvvetli asittir, tamamen iyonlaşır: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0,050 mol/L = 5,0·10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−log(5,0·10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 2 − 0,70 = 1,30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2.13.</w:t>
      </w:r>
    </w:p>
    <w:p>
      <w:pPr>
        <w:jc w:val="both"/>
        <w:rPr>
          <w:rFonts w:ascii="Times New Roman" w:hAnsi="Times New Roman" w:cs="Times New Roman"/>
          <w:lang w:val="tr-TR"/>
        </w:rPr>
      </w:pPr>
      <w:r>
        <w:rPr>
          <w:rFonts w:ascii="Times New Roman" w:hAnsi="Times New Roman" w:cs="Times New Roman"/>
          <w:lang w:val="tr-TR"/>
        </w:rPr>
        <w:t xml:space="preserve">25 °C’de 0,0050 M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pH değerini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Ba(OH)</w:t>
      </w:r>
      <w:r>
        <w:rPr>
          <w:rFonts w:ascii="Times New Roman" w:hAnsi="Times New Roman" w:cs="Times New Roman"/>
          <w:vertAlign w:val="subscript"/>
          <w:lang w:val="tr-TR"/>
        </w:rPr>
        <w:t xml:space="preserve">2</w:t>
      </w:r>
      <w:r>
        <w:rPr>
          <w:rFonts w:ascii="Times New Roman" w:hAnsi="Times New Roman" w:cs="Times New Roman"/>
          <w:lang w:val="tr-TR"/>
        </w:rPr>
        <w:t xml:space="preserve"> kuvvetli ve polifonksiyonel bir bazdır: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+ 2OH</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 · 0,0050 = 0,010 mol/L    pOH = 2    pH = 14 − 2 = 12</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2.14.</w:t>
      </w:r>
    </w:p>
    <w:p>
      <w:pPr>
        <w:jc w:val="both"/>
        <w:rPr>
          <w:rFonts w:ascii="Times New Roman" w:hAnsi="Times New Roman" w:cs="Times New Roman"/>
          <w:lang w:val="tr-TR"/>
        </w:rPr>
      </w:pPr>
      <w:r>
        <w:rPr>
          <w:rFonts w:ascii="Times New Roman" w:hAnsi="Times New Roman" w:cs="Times New Roman"/>
          <w:lang w:val="tr-TR"/>
        </w:rPr>
        <w:t xml:space="preserve">25 °C’de 0,050 M HCOOH çözeltisinin pH değerini ve iyonlaşma yüzdesini hesaplayınız. (K</w:t>
      </w:r>
      <w:r>
        <w:rPr>
          <w:rFonts w:ascii="Times New Roman" w:hAnsi="Times New Roman" w:cs="Times New Roman"/>
          <w:lang w:val="tr-TR"/>
          <w:vertAlign w:val="subscript"/>
        </w:rPr>
        <w:t xml:space="preserve">a</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-4</w:t>
      </w:r>
      <w:r>
        <w:rPr>
          <w:rFonts w:ascii="Times New Roman" w:hAnsi="Times New Roman" w:cs="Times New Roman"/>
          <w:lang w:val="tr-TR"/>
        </w:rPr>
        <w:t xml:space="preserve">, log 3 = 0,48)</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a</w:t>
      </w:r>
      <w:r>
        <w:rPr>
          <w:rFonts w:ascii="Times New Roman" w:hAnsi="Times New Roman" w:cs="Times New Roman"/>
          <w:lang w:val="tr-TR"/>
        </w:rPr>
        <w:t xml:space="preserve">/K</w:t>
      </w:r>
      <w:r>
        <w:rPr>
          <w:rFonts w:ascii="Times New Roman" w:hAnsi="Times New Roman" w:cs="Times New Roman"/>
          <w:lang w:val="tr-TR"/>
          <w:vertAlign w:val="subscript"/>
        </w:rPr>
        <w:t xml:space="preserve">a</w:t>
      </w:r>
      <w:r>
        <w:rPr>
          <w:rFonts w:ascii="Times New Roman" w:hAnsi="Times New Roman" w:cs="Times New Roman"/>
          <w:lang w:val="tr-TR"/>
        </w:rPr>
        <w:t xml:space="preserve"> = 0,050 / 1,8·10</w:t>
      </w:r>
      <w:r>
        <w:rPr>
          <w:rFonts w:ascii="Times New Roman" w:hAnsi="Times New Roman" w:cs="Times New Roman"/>
          <w:lang w:val="tr-TR"/>
          <w:vertAlign w:val="superscript"/>
        </w:rPr>
        <w:t xml:space="preserve">-4</w:t>
      </w:r>
      <w:r>
        <w:rPr>
          <w:rFonts w:ascii="Times New Roman" w:hAnsi="Times New Roman" w:cs="Times New Roman"/>
          <w:lang w:val="tr-TR"/>
        </w:rPr>
        <w:t xml:space="preserve"> ≈ 2,8·10</w:t>
      </w:r>
      <w:r>
        <w:rPr>
          <w:rFonts w:ascii="Times New Roman" w:hAnsi="Times New Roman" w:cs="Times New Roman"/>
          <w:lang w:val="tr-TR"/>
          <w:vertAlign w:val="superscript"/>
        </w:rPr>
        <w:t xml:space="preserve">2</w:t>
      </w:r>
      <w:r>
        <w:rPr>
          <w:rFonts w:ascii="Times New Roman" w:hAnsi="Times New Roman" w:cs="Times New Roman"/>
          <w:lang w:val="tr-TR"/>
        </w:rPr>
        <w:t xml:space="preserve"> &gt; 10</w:t>
      </w:r>
      <w:r>
        <w:rPr>
          <w:rFonts w:ascii="Times New Roman" w:hAnsi="Times New Roman" w:cs="Times New Roman"/>
          <w:lang w:val="tr-TR"/>
          <w:vertAlign w:val="superscript"/>
        </w:rPr>
        <w:t xml:space="preserve">2</w:t>
      </w:r>
      <w:r>
        <w:rPr>
          <w:rFonts w:ascii="Times New Roman" w:hAnsi="Times New Roman" w:cs="Times New Roman"/>
          <w:lang w:val="tr-TR"/>
        </w:rPr>
        <w:t xml:space="preserve"> olduğundan C</w:t>
      </w:r>
      <w:r>
        <w:rPr>
          <w:rFonts w:ascii="Times New Roman" w:hAnsi="Times New Roman" w:cs="Times New Roman"/>
          <w:lang w:val="tr-TR"/>
          <w:vertAlign w:val="subscript"/>
        </w:rPr>
        <w:t xml:space="preserve">a</w:t>
      </w:r>
      <w:r>
        <w:rPr>
          <w:rFonts w:ascii="Times New Roman" w:hAnsi="Times New Roman" w:cs="Times New Roman"/>
          <w:lang w:val="tr-TR"/>
        </w:rPr>
        <w:t xml:space="preserve"> − x ≈ C</w:t>
      </w:r>
      <w:r>
        <w:rPr>
          <w:rFonts w:ascii="Times New Roman" w:hAnsi="Times New Roman" w:cs="Times New Roman"/>
          <w:lang w:val="tr-TR"/>
          <w:vertAlign w:val="subscript"/>
        </w:rPr>
        <w:t xml:space="preserve">a</w:t>
      </w:r>
      <w:r>
        <w:rPr>
          <w:rFonts w:ascii="Times New Roman" w:hAnsi="Times New Roman" w:cs="Times New Roman"/>
          <w:lang w:val="tr-TR"/>
        </w:rPr>
        <w:t xml:space="preserve"> kabul edilebilir.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-4</w:t>
      </w:r>
      <w:r>
        <w:rPr>
          <w:rFonts w:ascii="Times New Roman" w:hAnsi="Times New Roman" w:cs="Times New Roman"/>
          <w:lang w:val="tr-TR"/>
        </w:rPr>
        <w:t xml:space="preserve"> · 0,050) = √(9,0·10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 3 − 0,48 = 2,52        İyonlaşma yüzdesi =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 0,050) · 100 = %6,0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2.15.</w:t>
      </w:r>
    </w:p>
    <w:p>
      <w:pPr>
        <w:jc w:val="both"/>
        <w:rPr>
          <w:rFonts w:ascii="Times New Roman" w:hAnsi="Times New Roman" w:cs="Times New Roman"/>
          <w:lang w:val="tr-TR"/>
        </w:rPr>
      </w:pPr>
      <w:r>
        <w:rPr>
          <w:rFonts w:ascii="Times New Roman" w:hAnsi="Times New Roman" w:cs="Times New Roman"/>
          <w:lang w:val="tr-TR"/>
        </w:rPr>
        <w:t xml:space="preserve">25 °C’de 0,20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değerini hesaplayınız.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√3,6 ≈ 1,90, log 1,90 = 0,28)</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C</w:t>
      </w:r>
      <w:r>
        <w:rPr>
          <w:rFonts w:ascii="Times New Roman" w:hAnsi="Times New Roman" w:cs="Times New Roman"/>
          <w:vertAlign w:val="subscript"/>
          <w:lang w:val="tr-TR"/>
        </w:rPr>
        <w:t xml:space="preserve">b</w:t>
      </w:r>
      <w:r>
        <w:rPr>
          <w:rFonts w:ascii="Times New Roman" w:hAnsi="Times New Roman" w:cs="Times New Roman"/>
          <w:lang w:val="tr-TR"/>
        </w:rPr>
        <w:t xml:space="preserve">/K</w:t>
      </w:r>
      <w:r>
        <w:rPr>
          <w:rFonts w:ascii="Times New Roman" w:hAnsi="Times New Roman" w:cs="Times New Roman"/>
          <w:vertAlign w:val="subscript"/>
          <w:lang w:val="tr-TR"/>
        </w:rPr>
        <w:t xml:space="preserve">b</w:t>
      </w:r>
      <w:r>
        <w:rPr>
          <w:rFonts w:ascii="Times New Roman" w:hAnsi="Times New Roman" w:cs="Times New Roman"/>
          <w:lang w:val="tr-TR"/>
        </w:rPr>
        <w:t xml:space="preserve"> = 0,20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4</w:t>
      </w:r>
      <w:r>
        <w:rPr>
          <w:rFonts w:ascii="Times New Roman" w:hAnsi="Times New Roman" w:cs="Times New Roman"/>
          <w:lang w:val="tr-TR"/>
        </w:rPr>
        <w:t xml:space="preserve"> &gt; 10</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0,20) = √(3,6·10</w:t>
      </w:r>
      <w:r>
        <w:rPr>
          <w:rFonts w:ascii="Times New Roman" w:hAnsi="Times New Roman" w:cs="Times New Roman"/>
          <w:vertAlign w:val="superscript"/>
          <w:lang w:val="tr-TR"/>
        </w:rPr>
        <w:t xml:space="preserve">-6</w:t>
      </w:r>
      <w:r>
        <w:rPr>
          <w:rFonts w:ascii="Times New Roman" w:hAnsi="Times New Roman" w:cs="Times New Roman"/>
          <w:lang w:val="tr-TR"/>
        </w:rPr>
        <w:t xml:space="preserve">) = 1,90·10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pOH = 3 − 0,28 = 2,72        pH = 14 − 2,72 = 11,28</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2.16.</w:t>
      </w:r>
    </w:p>
    <w:p>
      <w:pPr>
        <w:jc w:val="both"/>
        <w:rPr>
          <w:rFonts w:ascii="Times New Roman" w:hAnsi="Times New Roman" w:cs="Times New Roman"/>
          <w:lang w:val="tr-TR"/>
        </w:rPr>
      </w:pPr>
      <w:r>
        <w:rPr>
          <w:rFonts w:ascii="Times New Roman" w:hAnsi="Times New Roman" w:cs="Times New Roman"/>
          <w:lang w:val="tr-TR"/>
        </w:rPr>
        <w:t xml:space="preserve">25 °C’de 0,050 M HA zayıf asit çözeltisinin pH değeri 3,0 olarak ölçülmüştür. HA’nın asitlik sabitini (K</w:t>
      </w:r>
      <w:r>
        <w:rPr>
          <w:rFonts w:ascii="Times New Roman" w:hAnsi="Times New Roman" w:cs="Times New Roman"/>
          <w:vertAlign w:val="subscript"/>
          <w:lang w:val="tr-TR"/>
        </w:rPr>
        <w:t xml:space="preserve">a</w:t>
      </w:r>
      <w:r>
        <w:rPr>
          <w:rFonts w:ascii="Times New Roman" w:hAnsi="Times New Roman" w:cs="Times New Roman"/>
          <w:lang w:val="tr-TR"/>
        </w:rPr>
        <w:t xml:space="preserve">)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[A</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[HA] ≈ 0,050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a</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0,050 = 2,0·10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Aşağıdaki çözeltilerin 25 °C’deki pH değerlerini hesaplayarak asit ve bazların kuvvetlerini karşılaştırınız.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0,0010 M HCl çözeltisi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NaOH çözeltisi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√18 ≈ 4,24,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0,10 M HCOOH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-4</w:t>
      </w:r>
      <w:r>
        <w:rPr>
          <w:rFonts w:ascii="Times New Roman" w:hAnsi="Times New Roman" w:cs="Times New Roman"/>
          <w:lang w:val="tr-TR"/>
        </w:rPr>
        <w:t xml:space="preserve">, √18 ≈ 4,24,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√18 ≈ 4,24, log 4,24 = 0,63)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0,10 M HCN çözeltisi (K</w:t>
      </w:r>
      <w:r>
        <w:rPr>
          <w:rFonts w:ascii="Times New Roman" w:hAnsi="Times New Roman" w:cs="Times New Roman"/>
          <w:vertAlign w:val="subscript"/>
          <w:lang w:val="tr-TR"/>
        </w:rPr>
        <w:t xml:space="preserve">a</w:t>
      </w:r>
      <w:r>
        <w:rPr>
          <w:rFonts w:ascii="Times New Roman" w:hAnsi="Times New Roman" w:cs="Times New Roman"/>
          <w:lang w:val="tr-TR"/>
        </w:rPr>
        <w:t xml:space="preserve"> = 6,2·10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√62 ≈ 7,87, log 7,87 = 0,90). Bu çözeltinin pH’sini aynı derişimdeki HCl çözeltisinin pH’si ile karşılaştırınız.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25 °C’de pH değeri 11,0 olan 0,10 M bir zayıf baz çözeltisinin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ve zayıf asit-baz çözeltilerinin pH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