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2.2.6. Kuvvetli Asit-Kuvvetli Baz Titrasyonları</w:t>
      </w:r>
    </w:p>
    <w:p>
      <w:pPr>
        <w:jc w:val="both"/>
        <w:rPr>
          <w:rFonts w:ascii="Times New Roman" w:hAnsi="Times New Roman" w:cs="Times New Roman"/>
          <w:lang w:val="tr-TR"/>
        </w:rPr>
      </w:pPr>
      <w:r>
        <w:rPr>
          <w:rFonts w:ascii="Times New Roman" w:hAnsi="Times New Roman" w:cs="Times New Roman"/>
          <w:lang w:val="tr-TR"/>
        </w:rPr>
        <w:t xml:space="preserve">Bir kalite kontrol laboratuvarında çalışan kimyager, bir temizlik ürününün etiketinde yazan derişim değerinin doğru olup olmadığını kontrol etmek ister. Ürünün içindeki asit ya da bazın derişimini belirlemek için derişimi tam olarak bilinen bir çözeltiyi büretten damla damla ekler ve çözeltinin rengi değiştiği anda eklemeyi durdurur (Görsel A). Peki elimizdeki bir asit ya da baz çözeltisinin derişimini bilmiyorsak bunu nasıl bulabiliriz? Bunun için hangi araç gereçlere ve hesaplamalara ihtiyaç vardır? Bu sorulara Analiz ve Keşif Atölyesi 2.11.’de kendi planlayacağınız bir deneyle cevap arayınız. Etkinlikte grubunuzla derişimi bilinmeyen bir asit çözeltisinin derişimini belirlemeye yönelik bir deney tasarlayıp uygulayacak, ölçümlerinizi dikkatle kaydedecek ve verilerinizden yola çıkarak hesaplama yapacaksınız. Böylece deney yapma becerinizi geliştirirken farklı fikirlere açık olmayı, arkadaşlarınızla dayanışma içinde çalışmayı ve bilimsel merakınızın peşinden gitmeyi deneyimleyeceksiniz.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Bürete bağlı musluktan erlenmayerdeki çözeltiye damla damla sıvı eklenirken çözeltinin açık pembe renge döndüğü an; önlük ve eldivenli eller.</w:t>
            </w:r>
          </w:p>
          <w:p>
            <w:pPr>
              <w:jc w:val="both"/>
              <w:rPr>
                <w:rFonts w:ascii="Times New Roman" w:hAnsi="Times New Roman" w:cs="Times New Roman"/>
                <w:lang w:val="tr-TR"/>
              </w:rPr>
            </w:pPr>
            <w:r>
              <w:rPr>
                <w:rFonts w:ascii="Times New Roman" w:hAnsi="Times New Roman" w:cs="Times New Roman"/>
                <w:lang w:val="tr-TR"/>
              </w:rPr>
              <w:t xml:space="preserve">Shutter ID: 663997309 (fotoğraf) — Acid-base titration, burette and Erlenmeyer flask with pink solution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Laboratuvarda titrasyon yapılması</w:t>
      </w:r>
    </w:p>
    <w:p>
      <w:pPr>
        <w:jc w:val="both"/>
        <w:rPr>
          <w:rFonts w:ascii="Times New Roman" w:hAnsi="Times New Roman" w:cs="Times New Roman"/>
          <w:lang w:val="tr-TR"/>
        </w:rPr>
      </w:pPr>
      <w:r>
        <w:rPr>
          <w:rFonts w:ascii="Times New Roman" w:hAnsi="Times New Roman" w:cs="Times New Roman"/>
          <w:lang w:val="tr-TR"/>
        </w:rPr>
        <w:t xml:space="preserve">Çalışmaya başlamadan önce karekodda yer alan “Ön Bilgi ve Hedef Belirleme Formu”nu doldurunuz. Bu formda konu ile ilgili ön bilgilerinizi, deney sürecinde neyi öğrenmeyi beklediğinizi, hangi stratejileri kullanacağınızı ve bu süreçte neler hissedebileceğinizi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Ön Bilgi ve Hedef Belirleme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Ön Bilgi ve Hedef Belirleme Formu</w:t>
                      </w:r>
                    </w:p>
                  </w:txbxContent>
                </v:textbox>
              </v:rect>
            </w:pict>
          </mc:Fallback>
        </mc:AlternateContent>
      </w:r>
    </w:p>
    <w:p>
      <w:pPr>
        <w:jc w:val="both"/>
        <w:rPr>
          <w:rFonts w:ascii="Times New Roman" w:hAnsi="Times New Roman" w:cs="Times New Roman"/>
          <w:lang w:val="tr-TR"/>
        </w:rPr>
      </w:pP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önlük, gözlük, eldiven ve “aşındırıcı madde” uyarısı eklensin. Pipetle ağızla sıvı çekilmemesi uyarısı da eklensin.</w:t>
      </w:r>
    </w:p>
    <w:p>
      <w:pPr>
        <w:jc w:val="both"/>
        <w:rPr>
          <w:rFonts w:ascii="Times New Roman" w:hAnsi="Times New Roman" w:cs="Times New Roman"/>
          <w:lang w:val="tr-TR"/>
        </w:rPr>
      </w:pPr>
      <w:r>
        <w:rPr>
          <w:rFonts w:ascii="Times New Roman" w:hAnsi="Times New Roman" w:cs="Times New Roman"/>
          <w:b/>
          <w:bCs/>
          <w:lang w:val="tr-TR"/>
        </w:rPr>
        <w:t xml:space="preserve">1. Aşama: Deneyin Planlanması</w:t>
      </w:r>
    </w:p>
    <w:p>
      <w:pPr>
        <w:jc w:val="both"/>
        <w:rPr>
          <w:rFonts w:ascii="Times New Roman" w:hAnsi="Times New Roman" w:cs="Times New Roman"/>
          <w:lang w:val="tr-TR"/>
        </w:rPr>
      </w:pPr>
      <w:r>
        <w:rPr>
          <w:rFonts w:ascii="Times New Roman" w:hAnsi="Times New Roman" w:cs="Times New Roman"/>
          <w:lang w:val="tr-TR"/>
        </w:rPr>
        <w:t xml:space="preserve">Öğretmeniniz size derişimi 0,100 M olan bir NaOH çözeltisi ve derişimi bilinmeyen bir HCl çözeltisi verecektir. Derişimi bilinmeyen çözeltinin derişimini nasıl belirleyebileceğinizi grup arkadaşlarınızla tartışınız. Tartışma sırasında çeşitli fikir ve yeni bilgilere açık olunuz, olayı farklı bakış açılarıyla değerlendiriniz ve arkadaşlarınızla etkili iletişim kurunuz. Arkadaşlarınızın önerilerini kendinizi onların yerine koyarak anlamaya çalışınız ve görüşlerinize yöneltilen eleştirileri olgunlukla karşılayınız.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Derişimi bilinmeyen HCl çözeltisinin derişimini belirlemek için hangi bilgilere ihtiyacınız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Asidin tamamen nötralleştiği anı nasıl anlayabilirsiniz? Hangi indikatörü kullanmayı düşünürsünüz? Neden?</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Grubunuzla açık ve ulaşılabilir hedefler belirleyerek deneyinizi planlayınız. Görev paylaşımı yapınız, zamanı etkili bir şekilde yönetiniz ve ortak hedefe ulaşmak için arkadaşlarınızla dayanışma içinde olunuz.</w:t>
      </w:r>
    </w:p>
    <w:p>
      <w:pPr>
        <w:jc w:val="both"/>
        <w:rPr>
          <w:rFonts w:ascii="Times New Roman" w:hAnsi="Times New Roman" w:cs="Times New Roman"/>
          <w:lang w:val="tr-TR"/>
        </w:rPr>
      </w:pPr>
      <w:r>
        <w:rPr>
          <w:rFonts w:ascii="Times New Roman" w:hAnsi="Times New Roman" w:cs="Times New Roman"/>
          <w:b/>
          <w:bCs/>
          <w:lang w:val="tr-TR"/>
        </w:rPr>
        <w:t xml:space="preserve">Deneyin Adı:</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Amaç:</w:t>
      </w:r>
      <w:r>
        <w:rPr>
          <w:rFonts w:ascii="Times New Roman" w:hAnsi="Times New Roman" w:cs="Times New Roman"/>
          <w:lang w:val="tr-TR"/>
        </w:rPr>
        <w:t xml:space="preserve"> ……………………………………………………………………………………</w:t>
      </w:r>
    </w:p>
    <w:p>
      <w:pPr>
        <w:jc w:val="both"/>
        <w:rPr>
          <w:rFonts w:ascii="Times New Roman" w:hAnsi="Times New Roman" w:cs="Times New Roman"/>
          <w:lang w:val="tr-TR"/>
        </w:rPr>
      </w:pPr>
      <w:r>
        <w:rPr>
          <w:rFonts w:ascii="Times New Roman" w:hAnsi="Times New Roman" w:cs="Times New Roman"/>
          <w:b/>
          <w:bCs/>
          <w:lang w:val="tr-TR"/>
        </w:rPr>
        <w:t xml:space="preserve">Gerekli Malzemeler:</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Deneyin Yapılışı:</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Deney önerisi</w:t>
            </w:r>
          </w:p>
          <w:p>
            <w:pPr>
              <w:jc w:val="both"/>
              <w:rPr>
                <w:rFonts w:ascii="Times New Roman" w:hAnsi="Times New Roman" w:cs="Times New Roman"/>
                <w:lang w:val="tr-TR"/>
              </w:rPr>
            </w:pPr>
            <w:r>
              <w:rPr>
                <w:rFonts w:ascii="Times New Roman" w:hAnsi="Times New Roman" w:cs="Times New Roman"/>
                <w:lang w:val="tr-TR"/>
              </w:rPr>
              <w:t xml:space="preserve">• Bir erlenmayere dereceli pipetle 20,0 mL derişimi bilinmeyen HCl çözeltisi koyunuz ve 2-3 damla fenolftalein ekleyiniz.</w:t>
            </w:r>
          </w:p>
          <w:p>
            <w:pPr>
              <w:jc w:val="both"/>
              <w:rPr>
                <w:rFonts w:ascii="Times New Roman" w:hAnsi="Times New Roman" w:cs="Times New Roman"/>
                <w:lang w:val="tr-TR"/>
              </w:rPr>
            </w:pPr>
            <w:r>
              <w:rPr>
                <w:rFonts w:ascii="Times New Roman" w:hAnsi="Times New Roman" w:cs="Times New Roman"/>
                <w:lang w:val="tr-TR"/>
              </w:rPr>
              <w:t xml:space="preserve">• Bir büreti 0,100 M NaOH çözeltisi ile doldurunuz, başlangıç hacmini kaydediniz.</w:t>
            </w:r>
          </w:p>
          <w:p>
            <w:pPr>
              <w:jc w:val="both"/>
              <w:rPr>
                <w:rFonts w:ascii="Times New Roman" w:hAnsi="Times New Roman" w:cs="Times New Roman"/>
                <w:lang w:val="tr-TR"/>
              </w:rPr>
            </w:pPr>
            <w:r>
              <w:rPr>
                <w:rFonts w:ascii="Times New Roman" w:hAnsi="Times New Roman" w:cs="Times New Roman"/>
                <w:lang w:val="tr-TR"/>
              </w:rPr>
              <w:t xml:space="preserve">• Erlenmayeri sürekli çalkalayarak büretten NaOH çözeltisini damla damla ekleyiniz. Çözeltide en az 30 saniye kalıcı olan açık pembe renk oluştuğunda eklemeyi durdurunuz ve büretteki son hacmi kaydediniz.</w:t>
            </w:r>
          </w:p>
          <w:p>
            <w:pPr>
              <w:jc w:val="both"/>
              <w:rPr>
                <w:rFonts w:ascii="Times New Roman" w:hAnsi="Times New Roman" w:cs="Times New Roman"/>
                <w:lang w:val="tr-TR"/>
              </w:rPr>
            </w:pPr>
            <w:r>
              <w:rPr>
                <w:rFonts w:ascii="Times New Roman" w:hAnsi="Times New Roman" w:cs="Times New Roman"/>
                <w:lang w:val="tr-TR"/>
              </w:rPr>
              <w:t xml:space="preserve">• Deneyi üç kez tekrarlayınız ve harcanan NaOH hacimlerinin ortalamasını alınız.</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Sehpaya bağlı büret, altında beyaz zemin üzerinde erlenmayer; parçalar “büret”, “musluk”, “erlenmayer”, “sehpa ve kıskaç” olarak etiketlenmiş vektörel çizim.</w:t>
            </w:r>
          </w:p>
          <w:p>
            <w:pPr>
              <w:jc w:val="both"/>
              <w:rPr>
                <w:rFonts w:ascii="Times New Roman" w:hAnsi="Times New Roman" w:cs="Times New Roman"/>
                <w:lang w:val="tr-TR"/>
              </w:rPr>
            </w:pPr>
            <w:r>
              <w:rPr>
                <w:rFonts w:ascii="Times New Roman" w:hAnsi="Times New Roman" w:cs="Times New Roman"/>
                <w:lang w:val="tr-TR"/>
              </w:rPr>
              <w:t xml:space="preserve">Shutter ID: 1610704996 (vektör) — Titration labeled educational chemistry scheme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Titrasyon düzeneği</w:t>
      </w:r>
    </w:p>
    <w:p>
      <w:pPr>
        <w:jc w:val="both"/>
        <w:rPr>
          <w:rFonts w:ascii="Times New Roman" w:hAnsi="Times New Roman" w:cs="Times New Roman"/>
          <w:lang w:val="tr-TR"/>
        </w:rPr>
      </w:pPr>
      <w:r>
        <w:rPr>
          <w:rFonts w:ascii="Times New Roman" w:hAnsi="Times New Roman" w:cs="Times New Roman"/>
          <w:b/>
          <w:bCs/>
          <w:lang w:val="tr-TR"/>
        </w:rPr>
        <w:t xml:space="preserve">2. Aşama: Deneyin Yapılması ve Verilerin Kaydedilmesi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2500"/>
        <w:gridCol w:w="25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ilk hacim (mL)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Büretteki son hacim (mL)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Harcanan NaOH hacmi (mL)</w:t>
            </w: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r>
        <w:trPr>
          <w:trHeight w:val="450"/>
        </w:trP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Ortalama</w:t>
            </w:r>
          </w:p>
        </w:tc>
        <w:tc>
          <w:tcPr>
            <w:tcW w:w="25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Planladığınız deneyi grubunuzla uygulayınız. Her denemede büretteki ilk ve son hacimleri göz hizasından okuyarak yukarıdaki tabloya kaydediniz. Deney boyunca üstlendiğiniz görevde etkin rol alınız; denemeler arasında beklemediğiniz bir fark ortaya çıkarsa nedenini merakla sorgulayınız.</w:t>
      </w:r>
    </w:p>
    <w:p>
      <w:pPr>
        <w:jc w:val="both"/>
        <w:rPr>
          <w:rFonts w:ascii="Times New Roman" w:hAnsi="Times New Roman" w:cs="Times New Roman"/>
          <w:lang w:val="tr-TR"/>
        </w:rPr>
      </w:pPr>
      <w:r>
        <w:rPr>
          <w:rFonts w:ascii="Times New Roman" w:hAnsi="Times New Roman" w:cs="Times New Roman"/>
          <w:lang w:val="tr-TR"/>
        </w:rPr>
        <w:t xml:space="preserve">Okulunuzda laboratuvar imkânı yoksa aşağıdaki örnek deney verilerini kullanabilirsiniz.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20,0 mL HCl çözeltisinin 0,100 M NaOH çözeltisi ile titrasyonunda harcanan baz hacimleri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800"/>
        <w:gridCol w:w="1800"/>
      </w:tblGrid>
      <w:tr>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Deneme</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w:t>
            </w:r>
          </w:p>
        </w:tc>
      </w:tr>
      <w:tr>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Harcanan NaOH hacmi (mL)</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17,9</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w:t>
            </w:r>
          </w:p>
        </w:tc>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Derişimin Belirlenmesi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Harcanan NaOH hacimlerinin ortalamasını kullanarak HCl çözeltisinin derişimini hesaplayarak belirleyiniz. Grubunuzun ulaştığı sonucu diğer grupların sonuçlarıyla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Deneyi neden birden fazla kez tekrarladınız? Ölçümlerinizi etkileyebilecek hata kaynakları nelerdir?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Fenolftalein yerine metil oranj kullansaydınız sonuç değişir miydi?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Deney sonuçlarınızı belirlenen ölçütlere uygun şekilde bireysel bir deney raporu olarak yazınız. Deney raporunuz,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verilen “Öz Değerlendirme Formu” ile başlangıçta hedeflediğiniz noktaya ulaşma durumunuzu, bu süreci kolaylaştıran davranışlarınızı ve neleri daha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2.11.’de derişimi bilinmeyen HCl çözeltisine, derişimi bilinen NaOH çözeltisini indikatörün rengi değişene kadar eklediniz ve harcanan baz hacminden asidin derişimini hesapladınız. Bir çözeltideki asit ya da baz miktarını, derişimi tam olarak bilinen başka bir çözeltiyle tepkimeye sokarak bulmaya dayanan bu yönteme titrasyon denir. Etkinlikte kullandığınız 0,100 M NaOH çözeltisi gibi, titrasyonda kullanılan ve derişimi tam olarak bilinen çözeltiye standart çözelti denir. Asit-baz titrasyonlarında standart çözelti genellikle bir bürete konur ve derişimi bilinmeyen çözeltinin belirli bir hacmini içeren erlenmayere damla damla eklenir. Büret, eklenen çözeltinin hacmini 0,1 mL duyarlılıkla ölçmeyi sağlayan, alt ucunda musluk bulunan dereceli bir cam borudur. Titrasyonlar, gerçekleşen tepkimenin türüne göre asit-baz, çöktürme ve redoks (indirgenme-yükseltgenme) titrasyonları olarak sınıflandırılır. Bu bölümde kuvvetli asit-kuvvetli baz titrasyonları incelenecektir.</w:t>
      </w:r>
    </w:p>
    <w:p>
      <w:pPr>
        <w:jc w:val="both"/>
        <w:rPr>
          <w:rFonts w:ascii="Times New Roman" w:hAnsi="Times New Roman" w:cs="Times New Roman"/>
          <w:lang w:val="tr-TR"/>
        </w:rPr>
      </w:pPr>
      <w:r>
        <w:rPr>
          <w:rFonts w:ascii="Times New Roman" w:hAnsi="Times New Roman" w:cs="Times New Roman"/>
          <w:lang w:val="tr-TR"/>
        </w:rPr>
        <w:t xml:space="preserve">Etkinliğin 1. Aşamasında asidin tamamen nötralleştiği anı nasıl anlayabileceğinizi tartıştınız. Peki indikatörün renk değiştirdiği an, asit ile bazın tam olarak tepkimeye girdiği anla aynı mıdır? Titrasyonda asidin 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sayısının bazın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mol sayısına eşit olduğu noktaya eş değerlik noktası denir. Kuvvetli bir asit kuvvetli bir bazla titre edildiğinde eş değerlik noktasındaki çözelti nötrdür ve 25 °C’de pH değeri 7’dir. İndikatörün renk değiştirdiği ve titrasyonun sonlandırıldığı noktaya ise dönüm noktası (titrasyonun bitiş noktası) denir. Eş değerlik noktası hesaplanabilen kuramsal bir noktadır; doğrudan gözlenemez. Deneyde gözlenen ise dönüm noktasıdır. Uygun indikatör seçildiğinde dönüm noktası eş değerlik noktasına çok yakın olur ve aradaki hacim farkı bir damladan bile küçük olduğu için hesaplamalarda dönüm noktasında harcanan hacim kullanılır.</w: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2.10.’daki verilerde eklenen NaOH hacmi 19 mL’den 21 mL’ye çıkarken pH değerinin birden yaklaşık 9 birim arttığını hatırlayınız. Benzer bir sıçrama her kuvvetli asit-kuvvetli baz titrasyonunda görülür. Titrasyon boyunca çözeltinin pH’ının eklenen standart çözelti hacmine göre değişimini gösteren grafiğe titrasyon eğrisi denir. Grafik A’da 25,0 mL 0,100 M HCl çözeltisinin 0,100 M NaOH çözeltisi ile titrasyonuna ait titrasyon eğrisi verilmiştir. Başlangıçta pH değeri yavaş artar. Eş değerlik noktasına yaklaşıldığında tek bir damla bazın eklenmesi pH’ı birkaç birim değiştirir; eğri neredeyse dikey hâle gelir. Örneğin eklenen NaOH hacmi 24,9 mL iken pH yaklaşık 3,7, 25,1 mL iken yaklaşık 10,3’tür. Bu dik bölge fenolftaleinin (pH 8,2-10,0) ve metil oranjın (pH 3,1-4,4) dönüm aralıklarını kapsadığı için her iki indikatör de kuvvetli asit-kuvvetli baz titrasyonlarında kullanılabilir; etkinlikte fenolftalein yerine metil oranj kullansaydınız sonucun önemli ölçüde değişmemesinin nedeni budur. Renk değiştirme aralığı eş değerlik noktasına en yakın olan bromtimol mavisi (pH 6,0-7,6) de uygun bir seçimdir. Genel olarak indikatör, renk değiştirme aralığı titrasyon eğrisinin dik bölgesine düşecek şekilde seçilmelidir.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3225600"/>
            <wp:docPr id="900005" name="Grafik 900005" descr="Kuvvetli asit-kuvvetli baz titrasyon eğrisi"/>
            <wp:cNvGraphicFramePr>
              <a:graphicFrameLocks noChangeAspect="1"/>
            </wp:cNvGraphicFramePr>
            <a:graphic>
              <a:graphicData uri="http://schemas.openxmlformats.org/drawingml/2006/picture">
                <pic:pic>
                  <pic:nvPicPr>
                    <pic:cNvPr id="900005" name="k11_900005.png"/>
                    <pic:cNvPicPr/>
                  </pic:nvPicPr>
                  <pic:blipFill>
                    <a:blip r:embed="rIdK1"/>
                    <a:stretch>
                      <a:fillRect/>
                    </a:stretch>
                  </pic:blipFill>
                  <pic:spPr>
                    <a:xfrm>
                      <a:off x="0" y="0"/>
                      <a:ext cx="5040000" cy="32256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25,0 mL 0,100 M HCl çözeltisinin 0,100 M NaOH çözeltisi ile titrasyon eğrisi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hesaplanan değerlerle taslak olarak çizilmiştir; yayınevi tarafından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Etkinlikte HCl çözeltisinin derişimini hesaplarken nötralleşme konusunda ulaştığınız mol sayıları eşitliğinden yararlandınız. Eş değerlik noktasında asit ve bazın mol sayıları arasındaki bu ilişki kullanılarak bilinmeyen derişim hesaplanabilir: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(H⁺ sayısı) = </w:t>
                </m:r>
                <m:sSub>
                  <m:e>
                    <m:r>
                      <m:rPr>
                        <m:sty m:val="p"/>
                      </m:rPr>
                      <w:rPr>
                        <w:rFonts w:ascii="Cambria Math" w:hAnsi="Cambria Math" w:cs="Cambria Math"/>
                        <w:lang w:val="tr-TR"/>
                      </w:rPr>
                      <w:t xml:space="preserve">M</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sSub>
                  <m:e>
                    <m:r>
                      <m:rPr>
                        <m:sty m:val="p"/>
                      </m:rPr>
                      <w:rPr>
                        <w:rFonts w:ascii="Cambria Math" w:hAnsi="Cambria Math" w:cs="Cambria Math"/>
                        <w:lang w:val="tr-TR"/>
                      </w:rPr>
                      <w:t xml:space="preserve">V</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(OH⁻ sayısı)</w:t>
                </m:r>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bazın derişimi de derişimi bilinen kuvvetli bir asitle aynı yöntemle belirlenebilir. Bu durumda büret standart asit çözeltisi ile doldurulur ve titrasyon eğrisi yüksek pH değerlerinden başlayarak azalır.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20,0 mL HCl çözeltisi fenolftalein indikatörü varlığında 0,150 M NaOH çözeltisi ile titre ediliyor. Dönüm noktasına kadar 16,0 mL NaOH çözeltisi harcandığına göre HCl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1   ⟹   M</w:t>
      </w:r>
      <w:r>
        <w:rPr>
          <w:rFonts w:ascii="Times New Roman" w:hAnsi="Times New Roman" w:cs="Times New Roman"/>
          <w:vertAlign w:val="subscript"/>
          <w:lang w:val="tr-TR"/>
        </w:rPr>
        <w:t xml:space="preserve">a</w:t>
      </w:r>
      <w:r>
        <w:rPr>
          <w:rFonts w:ascii="Times New Roman" w:hAnsi="Times New Roman" w:cs="Times New Roman"/>
          <w:lang w:val="tr-TR"/>
        </w:rPr>
        <w:t xml:space="preserve"> · 20,0 mL = 0,150 M · 16,0 mL   ⟹   M</w:t>
      </w:r>
      <w:r>
        <w:rPr>
          <w:rFonts w:ascii="Times New Roman" w:hAnsi="Times New Roman" w:cs="Times New Roman"/>
          <w:vertAlign w:val="subscript"/>
          <w:lang w:val="tr-TR"/>
        </w:rPr>
        <w:t xml:space="preserve">a</w:t>
      </w:r>
      <w:r>
        <w:rPr>
          <w:rFonts w:ascii="Times New Roman" w:hAnsi="Times New Roman" w:cs="Times New Roman"/>
          <w:lang w:val="tr-TR"/>
        </w:rPr>
        <w:t xml:space="preserve"> = 0,120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25,0 mL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 titre etmek için 0,100 M HCl çözeltisinden 30,0 mL harcanmıştır.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w:r>
        <w:rPr>
          <w:rFonts w:ascii="Times New Roman" w:hAnsi="Times New Roman" w:cs="Times New Roman"/>
          <w:lang w:val="tr-TR"/>
        </w:rPr>
        <w:t xml:space="preserve">2HCl(suda) + Ba(OH)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BaCl</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M</w:t>
      </w:r>
      <w:r>
        <w:rPr>
          <w:rFonts w:ascii="Times New Roman" w:hAnsi="Times New Roman" w:cs="Times New Roman"/>
          <w:vertAlign w:val="subscript"/>
          <w:lang w:val="tr-TR"/>
        </w:rPr>
        <w:t xml:space="preserve">a</w:t>
      </w:r>
      <w:r>
        <w:rPr>
          <w:rFonts w:ascii="Times New Roman" w:hAnsi="Times New Roman" w:cs="Times New Roman"/>
          <w:lang w:val="tr-TR"/>
        </w:rPr>
        <w:t xml:space="preserve"> · V</w:t>
      </w:r>
      <w:r>
        <w:rPr>
          <w:rFonts w:ascii="Times New Roman" w:hAnsi="Times New Roman" w:cs="Times New Roman"/>
          <w:vertAlign w:val="subscript"/>
          <w:lang w:val="tr-TR"/>
        </w:rPr>
        <w:t xml:space="preserve">a</w:t>
      </w:r>
      <w:r>
        <w:rPr>
          <w:rFonts w:ascii="Times New Roman" w:hAnsi="Times New Roman" w:cs="Times New Roman"/>
          <w:lang w:val="tr-TR"/>
        </w:rPr>
        <w:t xml:space="preserve"> · 1 = M</w:t>
      </w:r>
      <w:r>
        <w:rPr>
          <w:rFonts w:ascii="Times New Roman" w:hAnsi="Times New Roman" w:cs="Times New Roman"/>
          <w:vertAlign w:val="subscript"/>
          <w:lang w:val="tr-TR"/>
        </w:rPr>
        <w:t xml:space="preserve">b</w:t>
      </w:r>
      <w:r>
        <w:rPr>
          <w:rFonts w:ascii="Times New Roman" w:hAnsi="Times New Roman" w:cs="Times New Roman"/>
          <w:lang w:val="tr-TR"/>
        </w:rPr>
        <w:t xml:space="preserve"> · V</w:t>
      </w:r>
      <w:r>
        <w:rPr>
          <w:rFonts w:ascii="Times New Roman" w:hAnsi="Times New Roman" w:cs="Times New Roman"/>
          <w:vertAlign w:val="subscript"/>
          <w:lang w:val="tr-TR"/>
        </w:rPr>
        <w:t xml:space="preserve">b</w:t>
      </w:r>
      <w:r>
        <w:rPr>
          <w:rFonts w:ascii="Times New Roman" w:hAnsi="Times New Roman" w:cs="Times New Roman"/>
          <w:lang w:val="tr-TR"/>
        </w:rPr>
        <w:t xml:space="preserve"> · 2   ⟹   0,100 M · 30,0 mL = M</w:t>
      </w:r>
      <w:r>
        <w:rPr>
          <w:rFonts w:ascii="Times New Roman" w:hAnsi="Times New Roman" w:cs="Times New Roman"/>
          <w:vertAlign w:val="subscript"/>
          <w:lang w:val="tr-TR"/>
        </w:rPr>
        <w:t xml:space="preserve">b</w:t>
      </w:r>
      <w:r>
        <w:rPr>
          <w:rFonts w:ascii="Times New Roman" w:hAnsi="Times New Roman" w:cs="Times New Roman"/>
          <w:lang w:val="tr-TR"/>
        </w:rPr>
        <w:t xml:space="preserve"> · 25,0 mL · 2   ⟹   M</w:t>
      </w:r>
      <w:r>
        <w:rPr>
          <w:rFonts w:ascii="Times New Roman" w:hAnsi="Times New Roman" w:cs="Times New Roman"/>
          <w:vertAlign w:val="subscript"/>
          <w:lang w:val="tr-TR"/>
        </w:rPr>
        <w:t xml:space="preserve">b</w:t>
      </w:r>
      <w:r>
        <w:rPr>
          <w:rFonts w:ascii="Times New Roman" w:hAnsi="Times New Roman" w:cs="Times New Roman"/>
          <w:lang w:val="tr-TR"/>
        </w:rPr>
        <w:t xml:space="preserve"> = 0,0600 M</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2.3.</w:t>
      </w:r>
    </w:p>
    <w:p>
      <w:pPr>
        <w:jc w:val="both"/>
        <w:rPr>
          <w:rFonts w:ascii="Times New Roman" w:hAnsi="Times New Roman" w:cs="Times New Roman"/>
          <w:lang w:val="tr-TR"/>
        </w:rPr>
      </w:pPr>
      <w:r>
        <w:rPr>
          <w:rFonts w:ascii="Times New Roman" w:hAnsi="Times New Roman" w:cs="Times New Roman"/>
          <w:lang w:val="tr-TR"/>
        </w:rPr>
        <w:t xml:space="preserve">Titrasyon yöntemi yalnızca okul laboratuvarlarında değil, günlük hayatı doğrudan ilgilendiren pek çok alanda kullanılır. Gıda sanayisinde meyve sularının ve sirkenin asitliği, süt endüstrisinde sütün tazeliğini gösteren asitlik derecesi titrasyonla belirlenir. Su arıtma tesislerinde suyun sertliği ve alkaliliği, ilaç sanayisinde ise etken madde miktarı titrasyon yöntemleriyle kontrol edilir. Günümüzde birçok laboratuvarda pH metre ile çalışan otomatik titratörler kullanılmaktadır.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10,0 mL HCl çözeltisini titre etmek için 0,200 M NaOH çözeltisinden 12,5 mL harcanmıştır. HCl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25,0 mL NaOH çözeltisini titre etmek için 0,100 M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çözeltisinden 15,0 mL harcanmıştır. NaOH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20,0 mL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0,050 M HNO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 ile titre ediliyor. Dönüm noktasına kadar 32,0 mL asit harcandığına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çözeltisinin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Grafik A’daki titrasyon eğrisini kullanarak aşağıdaki soruları yanıtlayınız.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Eş değerlik noktasına kadar harcanan NaOH hacmi ve bu noktadaki pH değeri kaçtır?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10 mL NaOH eklendiğinde çözelti asidik mi bazik mi?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 titrasyonda kullanılabilecek bir indikatör seçerek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çözelti kullanarak bilinmeyen bir derişimi bulabileceğiniz sanal titrasyon laboratuvarına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(asit-baz titrasyonları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Grafik A ve Tablo A’daki değerler tarafımızca hesaplanmış öğretim amaçlı verilerdir. İndikatör dönüm aralıkları: fenolftalein 8,2-10,0; metil oranj 3,1-4,4.</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3"/>
    <w:lvlOverride w:ilvl="0">
      <w:startOverride w:val="1"/>
    </w:lvlOverride>
  </w:num>
  <w:num xmlns:a="http://schemas.openxmlformats.org/drawingml/2006/main" xmlns:pic="http://schemas.openxmlformats.org/drawingml/2006/picture" w:numId="54">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