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iyonlaşma yüzdelerini dikkate alarak alt mikro seviyede birer model çiziniz. Modelinizde su moleküllerini göstermenize gerek yoktur.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çözeltilerde iyonlaşma derecelerine bağlıdır. Suda tamamen (yaklaşık %100) iyonlaşan asitlere </w:t>
      </w:r>
      <w:r>
        <w:rPr>
          <w:rFonts w:ascii="Times New Roman" w:hAnsi="Times New Roman" w:cs="Times New Roman"/>
          <w:b/>
          <w:bCs/>
          <w:lang w:val="tr-TR"/>
        </w:rPr>
        <w:t xml:space="preserve">kuvvetli asit</w:t>
      </w:r>
      <w:r>
        <w:rPr>
          <w:rFonts w:ascii="Times New Roman" w:hAnsi="Times New Roman" w:cs="Times New Roman"/>
          <w:lang w:val="tr-TR"/>
        </w:rPr>
        <w:t xml:space="preserve">, kısmen iyonlaşan asitlere </w:t>
      </w:r>
      <w:r>
        <w:rPr>
          <w:rFonts w:ascii="Times New Roman" w:hAnsi="Times New Roman" w:cs="Times New Roman"/>
          <w:b/>
          <w:bCs/>
          <w:lang w:val="tr-TR"/>
        </w:rPr>
        <w:t xml:space="preserve">zayıf asit</w:t>
      </w:r>
      <w:r>
        <w:rPr>
          <w:rFonts w:ascii="Times New Roman" w:hAnsi="Times New Roman" w:cs="Times New Roman"/>
          <w:lang w:val="tr-TR"/>
        </w:rPr>
        <w:t xml:space="preserve"> denir. Bazlar için de aynı ölçüt geçerlidir: Çözündüğünde birimlerinin hemen hepsi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verecek şekilde ayrışan bazlar </w:t>
      </w:r>
      <w:r>
        <w:rPr>
          <w:rFonts w:ascii="Times New Roman" w:hAnsi="Times New Roman" w:cs="Times New Roman"/>
          <w:b/>
          <w:bCs/>
          <w:lang w:val="tr-TR"/>
        </w:rPr>
        <w:t xml:space="preserve">kuvvetli baz</w:t>
      </w:r>
      <w:r>
        <w:rPr>
          <w:rFonts w:ascii="Times New Roman" w:hAnsi="Times New Roman" w:cs="Times New Roman"/>
          <w:lang w:val="tr-TR"/>
        </w:rPr>
        <w:t xml:space="preserve">, bu ayrışmayı ancak sınırlı ölçüde gerçekleştiren bazlar </w:t>
      </w:r>
      <w:r>
        <w:rPr>
          <w:rFonts w:ascii="Times New Roman" w:hAnsi="Times New Roman" w:cs="Times New Roman"/>
          <w:b/>
          <w:bCs/>
          <w:lang w:val="tr-TR"/>
        </w:rPr>
        <w:t xml:space="preserve">zayıf baz</w:t>
      </w:r>
      <w:r>
        <w:rPr>
          <w:rFonts w:ascii="Times New Roman" w:hAnsi="Times New Roman" w:cs="Times New Roman"/>
          <w:lang w:val="tr-TR"/>
        </w:rPr>
        <w:t xml:space="preserve"> olarak sınıflandırılır. Kuvvetli asitlerin iyonlaşması tek yönlü ok (→), zayıf asitlerin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 (Görsel C). Bu nedenle 0,10 M HCl çözeltisinin pH değeri 1,0 iken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 Çözeltideki iyon sayısı fazla olduğu için kuvvetli asit ve baz çözeltilerinin elektrik iletkenliği de zayıf asit ve baz çözeltilerine göre daha yüksektir. Kuvvetli asit ve bazların sulu çözeltileri </w:t>
      </w:r>
      <w:r>
        <w:rPr>
          <w:rFonts w:ascii="Times New Roman" w:hAnsi="Times New Roman" w:cs="Times New Roman"/>
          <w:b/>
          <w:bCs/>
          <w:lang w:val="tr-TR"/>
        </w:rPr>
        <w:t xml:space="preserve">kuvvetli elektrolit</w:t>
      </w:r>
      <w:r>
        <w:rPr>
          <w:rFonts w:ascii="Times New Roman" w:hAnsi="Times New Roman" w:cs="Times New Roman"/>
          <w:lang w:val="tr-TR"/>
        </w:rPr>
        <w:t xml:space="preserve">, zayıf asit ve bazların sulu çözeltileri ise </w:t>
      </w:r>
      <w:r>
        <w:rPr>
          <w:rFonts w:ascii="Times New Roman" w:hAnsi="Times New Roman" w:cs="Times New Roman"/>
          <w:b/>
          <w:bCs/>
          <w:lang w:val="tr-TR"/>
        </w:rPr>
        <w:t xml:space="preserve">zayıf elektrolittir</w:t>
      </w: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223000"/>
            <wp:docPr id="900004" name="Grafik 900004" descr="Kuvvetli ve zayıf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223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Aynı derişimdeki kuvvetli asit (HCl) ve zayıf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Zayıf asit ve bazların iyonlaşması bir denge tepkimesi olduğu için bu dengelerin denge sabitleri asit ve bazların kuvvetini karşılaştırmada kullanılır. Bir zayıf asidin iyonlaşma tepkimesinin denge sabitine </w:t>
      </w:r>
      <w:r>
        <w:rPr>
          <w:rFonts w:ascii="Times New Roman" w:hAnsi="Times New Roman" w:cs="Times New Roman"/>
          <w:b/>
          <w:bCs/>
          <w:lang w:val="tr-TR"/>
        </w:rPr>
        <w:t xml:space="preserve">asitlik sabiti (K</w:t>
      </w:r>
      <w:r>
        <w:rPr>
          <w:rFonts w:ascii="Times New Roman" w:hAnsi="Times New Roman" w:cs="Times New Roman"/>
          <w:b/>
          <w:bCs/>
          <w:vertAlign w:val="subscript"/>
          <w:lang w:val="tr-TR"/>
        </w:rPr>
        <w:t xml:space="preserve">a</w:t>
      </w:r>
      <w:r>
        <w:rPr>
          <w:rFonts w:ascii="Times New Roman" w:hAnsi="Times New Roman" w:cs="Times New Roman"/>
          <w:b/>
          <w:bCs/>
          <w:lang w:val="tr-TR"/>
        </w:rPr>
        <w:t xml:space="preserve">)</w:t>
      </w:r>
      <w:r>
        <w:rPr>
          <w:rFonts w:ascii="Times New Roman" w:hAnsi="Times New Roman" w:cs="Times New Roman"/>
          <w:lang w:val="tr-TR"/>
        </w:rPr>
        <w:t xml:space="preserve">, bir zayıf bazın iyonlaşma tepkimesinin denge sabitine </w:t>
      </w:r>
      <w:r>
        <w:rPr>
          <w:rFonts w:ascii="Times New Roman" w:hAnsi="Times New Roman" w:cs="Times New Roman"/>
          <w:b/>
          <w:bCs/>
          <w:lang w:val="tr-TR"/>
        </w:rPr>
        <w:t xml:space="preserve">bazlık sabiti (K</w:t>
      </w:r>
      <w:r>
        <w:rPr>
          <w:rFonts w:ascii="Times New Roman" w:hAnsi="Times New Roman" w:cs="Times New Roman"/>
          <w:b/>
          <w:bCs/>
          <w:vertAlign w:val="subscript"/>
          <w:lang w:val="tr-TR"/>
        </w:rPr>
        <w:t xml:space="preserve">b</w:t>
      </w:r>
      <w:r>
        <w:rPr>
          <w:rFonts w:ascii="Times New Roman" w:hAnsi="Times New Roman" w:cs="Times New Roman"/>
          <w:b/>
          <w:bCs/>
          <w:lang w:val="tr-TR"/>
        </w:rPr>
        <w:t xml:space="preserve">)</w:t>
      </w:r>
      <w:r>
        <w:rPr>
          <w:rFonts w:ascii="Times New Roman" w:hAnsi="Times New Roman" w:cs="Times New Roman"/>
          <w:lang w:val="tr-TR"/>
        </w:rPr>
        <w:t xml:space="preserve"> denir. K</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 büyüdükçe asidin ya da bazın kuvveti artar.</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asit ne kadar kuvvetliyse eşlenik bazı o kadar zayıftır. Örneğin HCl çok kuvvetli bir asit olduğu için eşlenik bazı Cl</w:t>
      </w:r>
      <w:r>
        <w:rPr>
          <w:rFonts w:ascii="Times New Roman" w:hAnsi="Times New Roman" w:cs="Times New Roman"/>
          <w:vertAlign w:val="superscript"/>
          <w:lang w:val="tr-TR"/>
        </w:rPr>
        <w:t xml:space="preserve">−</w:t>
      </w:r>
      <w:r>
        <w:rPr>
          <w:rFonts w:ascii="Times New Roman" w:hAnsi="Times New Roman" w:cs="Times New Roman"/>
          <w:lang w:val="tr-TR"/>
        </w:rPr>
        <w:t xml:space="preserve"> suda proton alma eğilimi göstermez. Zayıf bir asit olan HF’nin eşlenik bazı F</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sudan proton alarak bazik özellik gösterebilir. Asitlerin kuvvetini “derişik” ya da “seyreltik” kavramlarıyla karıştırmamak gerekir: Derişim çözeltideki madde miktarını, kuvvet ise maddenin iyonlaşma eğilimini ifade eder. Örneğin 6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derişik ancak zayıf, 0,001 M HCl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HCl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HCl ise suda yaklaşık %100 iyonlaşır. Bu nedenle HCl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HCl çözeltisinin elektrik iletkenliği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İyonlaşma yüzdeleri bu değerlerle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