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p>
      <w:pPr>
        <w:jc w:val="center"/>
      </w:pPr>
      <w:r>
        <w:drawing>
          <wp:inline xmlns:a="http://schemas.openxmlformats.org/drawingml/2006/main" xmlns:pic="http://schemas.openxmlformats.org/drawingml/2006/picture">
            <wp:extent cx="5400000" cy="3967200"/>
            <wp:docPr id="900014" name="Picture 900014"/>
            <wp:cNvGraphicFramePr>
              <a:graphicFrameLocks noChangeAspect="1"/>
            </wp:cNvGraphicFramePr>
            <a:graphic>
              <a:graphicData uri="http://schemas.openxmlformats.org/drawingml/2006/picture">
                <pic:pic>
                  <pic:nvPicPr>
                    <pic:cNvPr id="0" name="2760185255_d.jpg"/>
                    <pic:cNvPicPr/>
                  </pic:nvPicPr>
                  <pic:blipFill>
                    <a:blip r:embed="rId12"/>
                    <a:stretch>
                      <a:fillRect/>
                    </a:stretch>
                  </pic:blipFill>
                  <pic:spPr>
                    <a:xfrm>
                      <a:off x="0" y="0"/>
                      <a:ext cx="5400000" cy="3967200"/>
                    </a:xfrm>
                    <a:prstGeom prst="rect"/>
                  </pic:spPr>
                </pic:pic>
              </a:graphicData>
            </a:graphic>
          </wp:inline>
        </w:drawing>
      </w:r>
    </w:p>
    <w:p>
      <w:pPr>
        <w:jc w:val="center"/>
      </w:pPr>
      <w:r>
        <w:rPr>
          <w:rFonts w:ascii="Times New Roman" w:hAnsi="Times New Roman" w:cs="Times New Roman"/>
          <w:b/>
          <w:bCs/>
          <w:highlight w:val="yellow"/>
          <w:lang w:val="tr-TR"/>
        </w:rPr>
        <w:t xml:space="preserve">Shutter id: 2760185255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7152"/>
                  <wp:docPr id="900015" name="Picture 900015"/>
                  <wp:cNvGraphicFramePr>
                    <a:graphicFrameLocks noChangeAspect="1"/>
                  </wp:cNvGraphicFramePr>
                  <a:graphic>
                    <a:graphicData uri="http://schemas.openxmlformats.org/drawingml/2006/picture">
                      <pic:pic>
                        <pic:nvPicPr>
                          <pic:cNvPr id="0" name="2813805813_d.jpg"/>
                          <pic:cNvPicPr/>
                        </pic:nvPicPr>
                        <pic:blipFill>
                          <a:blip r:embed="rId13"/>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2813805813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p>
            <w:pPr>
              <w:jc w:val="center"/>
            </w:pPr>
            <w:r>
              <w:drawing>
                <wp:inline xmlns:a="http://schemas.openxmlformats.org/drawingml/2006/main" xmlns:pic="http://schemas.openxmlformats.org/drawingml/2006/picture">
                  <wp:extent cx="2664000" cy="1953600"/>
                  <wp:docPr id="900016" name="Picture 900016"/>
                  <wp:cNvGraphicFramePr>
                    <a:graphicFrameLocks noChangeAspect="1"/>
                  </wp:cNvGraphicFramePr>
                  <a:graphic>
                    <a:graphicData uri="http://schemas.openxmlformats.org/drawingml/2006/picture">
                      <pic:pic>
                        <pic:nvPicPr>
                          <pic:cNvPr id="0" name="2678640755_d.jpg"/>
                          <pic:cNvPicPr/>
                        </pic:nvPicPr>
                        <pic:blipFill>
                          <a:blip r:embed="rId14"/>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2678640755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7" name="Picture 900017"/>
                  <wp:cNvGraphicFramePr>
                    <a:graphicFrameLocks noChangeAspect="1"/>
                  </wp:cNvGraphicFramePr>
                  <a:graphic>
                    <a:graphicData uri="http://schemas.openxmlformats.org/drawingml/2006/picture">
                      <pic:pic>
                        <pic:nvPicPr>
                          <pic:cNvPr id="0" name="2601219685_d.jpg"/>
                          <pic:cNvPicPr/>
                        </pic:nvPicPr>
                        <pic:blipFill>
                          <a:blip r:embed="rId15"/>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2704537031</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p>
            <w:pPr>
              <w:jc w:val="center"/>
            </w:pPr>
            <w:r>
              <w:drawing>
                <wp:inline xmlns:a="http://schemas.openxmlformats.org/drawingml/2006/main" xmlns:pic="http://schemas.openxmlformats.org/drawingml/2006/picture">
                  <wp:extent cx="2113878" cy="1979999"/>
                  <wp:docPr id="900013" name="Picture 900013"/>
                  <wp:cNvGraphicFramePr>
                    <a:graphicFrameLocks noChangeAspect="1"/>
                  </wp:cNvGraphicFramePr>
                  <a:graphic>
                    <a:graphicData uri="http://schemas.openxmlformats.org/drawingml/2006/picture">
                      <pic:pic>
                        <pic:nvPicPr>
                          <pic:cNvPr id="0" name="2072502239_d.jpg"/>
                          <pic:cNvPicPr/>
                        </pic:nvPicPr>
                        <pic:blipFill>
                          <a:blip r:embed="rId11"/>
                          <a:stretch>
                            <a:fillRect/>
                          </a:stretch>
                        </pic:blipFill>
                        <pic:spPr>
                          <a:xfrm>
                            <a:off x="0" y="0"/>
                            <a:ext cx="2113878"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2072502239</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517653"/>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398018" cy="25176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Kristal, florit (CaF2) yapısının bir kesitiyle çizilmiştir: F− iyonları kare örgü oluşturur, Ca2+ iyonları karelerin dama düzenindeki merkezlerindedir (Ca2+ : F− = 1 : 2); iyon boyutları gerçek iyon yarıçaplarıyla orantılıdır. Görsel yeniden çizilirse bu düzen ve oran korunmalıdır.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highlight w:val="yellow"/>
          <w:vertAlign w:val="superscript"/>
        </w:rPr>
        <w:t xml:space="preserve">-17</w:t>
      </w:r>
      <w:r>
        <w:rPr>
          <w:rFonts w:ascii="Times New Roman" w:hAnsi="Times New Roman" w:cs="Times New Roman"/>
          <w:highlight w:val="yellow"/>
          <w:lang w:val="tr-TR"/>
        </w:rPr>
        <w:t xml:space="preserve">), BaCO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(5,1·10</w:t>
      </w:r>
      <w:r>
        <w:rPr>
          <w:rFonts w:ascii="Times New Roman" w:hAnsi="Times New Roman" w:cs="Times New Roman"/>
          <w:lang w:val="tr-TR"/>
          <w:highlight w:val="yellow"/>
          <w:vertAlign w:val="superscript"/>
        </w:rPr>
        <w:t xml:space="preserve">-9</w:t>
      </w:r>
      <w:r>
        <w:rPr>
          <w:rFonts w:ascii="Times New Roman" w:hAnsi="Times New Roman" w:cs="Times New Roman"/>
          <w:highlight w:val="yellow"/>
          <w:lang w:val="tr-TR"/>
        </w:rPr>
        <w:t xml:space="preserve">) ve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(3,9·10</w:t>
      </w:r>
      <w:r>
        <w:rPr>
          <w:rFonts w:ascii="Times New Roman" w:hAnsi="Times New Roman" w:cs="Times New Roman"/>
          <w:lang w:val="tr-TR"/>
          <w:highlight w:val="yellow"/>
          <w:vertAlign w:val="superscript"/>
        </w:rPr>
        <w:t xml:space="preserve">-11</w:t>
      </w:r>
      <w:r>
        <w:rPr>
          <w:rFonts w:ascii="Times New Roman" w:hAnsi="Times New Roman" w:cs="Times New Roman"/>
          <w:highlight w:val="yellow"/>
          <w:lang w:val="tr-TR"/>
        </w:rPr>
        <w:t xml:space="preserve">) değerleri de aynı tür tablolardan alınmıştır; özellikle CaF</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için kaynaklarda farklı değerler verildiğinden yayın öncesi kontrol edilmelidir.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ve X</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