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(Görsel B)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08" name="Picture 900008"/>
                  <wp:cNvGraphicFramePr>
                    <a:graphicFrameLocks noChangeAspect="1"/>
                  </wp:cNvGraphicFramePr>
                  <a:graphic>
                    <a:graphicData uri="http://schemas.openxmlformats.org/drawingml/2006/picture">
                      <pic:pic>
                        <pic:nvPicPr>
                          <pic:cNvPr id="0" name="2682398827_d.jpg"/>
                          <pic:cNvPicPr/>
                        </pic:nvPicPr>
                        <pic:blipFill>
                          <a:blip r:embed="rId11"/>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2682398827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tc>
        <w:tc>
          <w:tcPr>
            <w:tcW w:w="4500" w:type="dxa"/>
          </w:tcPr>
          <w:p>
            <w:pPr>
              <w:jc w:val="center"/>
            </w:pPr>
            <w:r>
              <w:drawing>
                <wp:inline xmlns:a="http://schemas.openxmlformats.org/drawingml/2006/main" xmlns:pic="http://schemas.openxmlformats.org/drawingml/2006/picture">
                  <wp:extent cx="2360890" cy="1980000"/>
                  <wp:docPr id="900009" name="Picture 900009"/>
                  <wp:cNvGraphicFramePr>
                    <a:graphicFrameLocks noChangeAspect="1"/>
                  </wp:cNvGraphicFramePr>
                  <a:graphic>
                    <a:graphicData uri="http://schemas.openxmlformats.org/drawingml/2006/picture">
                      <pic:pic>
                        <pic:nvPicPr>
                          <pic:cNvPr id="0" name="2820267205_d.jpg"/>
                          <pic:cNvPicPr/>
                        </pic:nvPicPr>
                        <pic:blipFill>
                          <a:blip r:embed="rId12"/>
                          <a:stretch>
                            <a:fillRect/>
                          </a:stretch>
                        </pic:blipFill>
                        <pic:spPr>
                          <a:xfrm>
                            <a:off x="0" y="0"/>
                            <a:ext cx="2360890" cy="198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2820267205</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Asidik bir içecek: portakal suyu</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Ek uyarılar: Laboratuvarda hiçbir ürün tadılmaz.</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ürünleri belirlerken diğer gruplardan farklı ya da benzer ürünler seçebilirsiniz; böylece sonuçlarınızı sınıfta karşılaştırma imkânı bulursunuz.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Gözlemlerinizden yola çıkarak asidik ya da bazik ürünlerin sağlığımızı nasıl etkilediğine dair önermeler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yayınları gibi güvenilir kaynaklardan araştırınız; farklı kaynaklardaki bilgileri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Önerinizi hazırlarken çevrenizdeki kişilerin yaşlarını, sağlık durumlarını ve farklı ihtiyaçlarını göz önünde bulundurunuz.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lang w:val="tr-TR"/>
        </w:rPr>
        <w:t xml:space="preserve">Diş ve ağız sağlığı: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minerallerin çözünmesi belirgin biçimde hızlanır; minenin mineral kaybetmesine demineralizasyon denir (Görsel C). Tükürük, içerdiği hidrojen karbonat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macunun aşındırıcılığı ve ağızda kalma süresi de koruyuculuğu etkiler. Çok bazik ürünler ise ağız içindeki yumuşak dokuları tahriş edebilir.</w:t>
      </w:r>
    </w:p>
    <w:p>
      <w:pPr>
        <w:jc w:val="center"/>
      </w:pPr>
      <w:r>
        <w:drawing>
          <wp:inline xmlns:a="http://schemas.openxmlformats.org/drawingml/2006/main" xmlns:pic="http://schemas.openxmlformats.org/drawingml/2006/picture">
            <wp:extent cx="2112075" cy="2520000"/>
            <wp:docPr id="900010" name="Picture 900010"/>
            <wp:cNvGraphicFramePr>
              <a:graphicFrameLocks noChangeAspect="1"/>
            </wp:cNvGraphicFramePr>
            <a:graphic>
              <a:graphicData uri="http://schemas.openxmlformats.org/drawingml/2006/picture">
                <pic:pic>
                  <pic:nvPicPr>
                    <pic:cNvPr id="0" name="2720078127_d.jpg"/>
                    <pic:cNvPicPr/>
                  </pic:nvPicPr>
                  <pic:blipFill>
                    <a:blip r:embed="rId13"/>
                    <a:stretch>
                      <a:fillRect/>
                    </a:stretch>
                  </pic:blipFill>
                  <pic:spPr>
                    <a:xfrm>
                      <a:off x="0" y="0"/>
                      <a:ext cx="2112075"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2720078127</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Diş minesi ve asit etkisi</w:t>
      </w:r>
    </w:p>
    <w:p>
      <w:pPr>
        <w:jc w:val="both"/>
        <w:rPr>
          <w:rFonts w:ascii="Times New Roman" w:hAnsi="Times New Roman" w:cs="Times New Roman"/>
          <w:lang w:val="tr-TR"/>
        </w:rPr>
      </w:pPr>
      <w:r>
        <w:rPr>
          <w:rFonts w:ascii="Times New Roman" w:hAnsi="Times New Roman" w:cs="Times New Roman"/>
          <w:lang w:val="tr-TR"/>
        </w:rPr>
        <w:t xml:space="preserve">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alüminyum hidroksit (Al(OH)</w:t>
      </w:r>
      <w:r>
        <w:rPr>
          <w:rFonts w:ascii="Times New Roman" w:hAnsi="Times New Roman" w:cs="Times New Roman"/>
          <w:lang w:val="tr-TR"/>
          <w:vertAlign w:val="subscript"/>
        </w:rPr>
        <w:t xml:space="preserve">3</w:t>
      </w:r>
      <w:r>
        <w:rPr>
          <w:rFonts w:ascii="Times New Roman" w:hAnsi="Times New Roman" w:cs="Times New Roman"/>
          <w:lang w:val="tr-TR"/>
        </w:rPr>
        <w:t xml:space="preserve">) veya kalsiyum karbonat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a.</w:t>
        <w:tab/>
      </w: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b.</w:t>
        <w:tab/>
      </w: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c.</w:t>
        <w:tab/>
      </w: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ind w:left="1080" w:hanging="360"/>
        <w:jc w:val="both"/>
        <w:rPr>
          <w:rFonts w:ascii="Times New Roman" w:hAnsi="Times New Roman" w:cs="Times New Roman"/>
          <w:lang w:val="tr-TR"/>
        </w:rPr>
      </w:pPr>
      <w:r>
        <w:rPr>
          <w:rFonts w:ascii="Times New Roman" w:hAnsi="Times New Roman" w:cs="Times New Roman"/>
          <w:lang w:val="tr-TR"/>
        </w:rPr>
        <w:t xml:space="preserve">ç.</w:t>
        <w:tab/>
      </w: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Asidik ve bazik ürünlerin mide, ağız, diş ve cilt sağlığına olumlu ve olumsuz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