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D05</w:t>
      </w:r>
    </w:p>
    <w:p>
      <w:pPr>
        <w:spacing w:before="160"/>
        <w:jc w:val="center"/>
      </w:pPr>
      <w:r>
        <w:rPr>
          <w:rFonts w:ascii="Liberation Sans" w:hAnsi="Liberation Sans"/>
          <w:b/>
          <w:color w:val="17365D"/>
          <w:sz w:val="52"/>
        </w:rPr>
        <w:t>Exigences non fonctionnelles</w:t>
      </w:r>
    </w:p>
    <w:p>
      <w:pPr>
        <w:spacing w:before="200"/>
        <w:jc w:val="center"/>
      </w:pPr>
      <w:r>
        <w:rPr>
          <w:rFonts w:ascii="Carlito" w:hAnsi="Carlito"/>
          <w:i/>
          <w:color w:val="243447"/>
          <w:sz w:val="25"/>
        </w:rPr>
        <w:t>Performance, sécurité, fiabilité, maintenabilité et qualité</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assistants IA</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D05</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 assistés par IA</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Principes</w:t>
      </w:r>
    </w:p>
    <w:p>
      <w:pPr>
        <w:pStyle w:val="ListNumber"/>
      </w:pPr>
      <w:r>
        <w:t>Performance</w:t>
      </w:r>
    </w:p>
    <w:p>
      <w:pPr>
        <w:pStyle w:val="ListNumber"/>
      </w:pPr>
      <w:r>
        <w:t>Disponibilité</w:t>
      </w:r>
    </w:p>
    <w:p>
      <w:pPr>
        <w:pStyle w:val="ListNumber"/>
      </w:pPr>
      <w:r>
        <w:t>Sécurité</w:t>
      </w:r>
    </w:p>
    <w:p>
      <w:pPr>
        <w:pStyle w:val="ListNumber"/>
      </w:pPr>
      <w:r>
        <w:t>Intégrité scientifique</w:t>
      </w:r>
    </w:p>
    <w:p>
      <w:pPr>
        <w:pStyle w:val="ListNumber"/>
      </w:pPr>
      <w:r>
        <w:t>Utilisabilité</w:t>
      </w:r>
    </w:p>
    <w:p>
      <w:pPr>
        <w:pStyle w:val="ListNumber"/>
      </w:pPr>
      <w:r>
        <w:t>Portabilité</w:t>
      </w:r>
    </w:p>
    <w:p>
      <w:pPr>
        <w:pStyle w:val="ListNumber"/>
      </w:pPr>
      <w:r>
        <w:t>Maintenabilité</w:t>
      </w:r>
    </w:p>
    <w:p>
      <w:pPr>
        <w:pStyle w:val="ListNumber"/>
      </w:pPr>
      <w:r>
        <w:t>Observabilité</w:t>
      </w:r>
    </w:p>
    <w:p>
      <w:pPr>
        <w:pStyle w:val="ListNumber"/>
      </w:pPr>
      <w:r>
        <w:t>Données</w:t>
      </w:r>
    </w:p>
    <w:p>
      <w:pPr>
        <w:pStyle w:val="ListNumber"/>
      </w:pPr>
      <w:r>
        <w:t>Conformité</w:t>
      </w:r>
    </w:p>
    <w:p>
      <w:pPr>
        <w:pStyle w:val="ListNumber"/>
      </w:pPr>
      <w:r>
        <w:t>Critères de recette</w:t>
      </w:r>
    </w:p>
    <w:p>
      <w:r>
        <w:rPr>
          <w:i/>
          <w:color w:val="6B7785"/>
          <w:sz w:val="17"/>
        </w:rPr>
        <w:t>La pagination peut évoluer après validation et mise en forme finale dans Microsoft Word ou LibreOffice.</w:t>
      </w:r>
    </w:p>
    <w:p>
      <w:r>
        <w:br w:type="page"/>
      </w:r>
    </w:p>
    <w:p>
      <w:pPr>
        <w:pStyle w:val="Heading1"/>
      </w:pPr>
      <w:r>
        <w:t>1. Principes</w:t>
      </w:r>
    </w:p>
    <w:p>
      <w:r>
        <w:rPr>
          <w:i w:val="0"/>
        </w:rPr>
        <w:t>Les exigences non fonctionnelles définissent la qualité attendue du système. Elles sont mesurables, testables et adaptées à une équipe de deux développeurs. Les cibles du MVP privilégient la robustesse, la traçabilité et la simplicité d’exploitation plutôt qu’une architecture distribuée prématurée.</w:t>
      </w:r>
    </w:p>
    <w:p>
      <w:pPr>
        <w:pStyle w:val="Heading1"/>
      </w:pPr>
      <w:r>
        <w:t>2. Performance et capacité</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NFR-PERF-001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 calcul stationnaire d’un cas de 1 000 tronçons doit terminer en moins de 10 secondes sur le serveur de référence.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Percentile 95 mesuré.</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NFR-PERF-002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Une comparaison de 100 configurations simples doit terminer en moins de 120 secondes.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Benchmark automatisé.</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NFR-PERF-003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L’interface doit répondre en moins de 2 secondes pour les opérations courantes hors calcul.</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Tests navigateur.</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NFR-PERF-004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Les calculs longs doivent s’exécuter en tâche de fond sans bloquer l’API.</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File de tâches et statut.</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NFR-PERF-005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 système doit supporter au moins 25 utilisateurs simultanés au MVP.</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Test de charge.</w:t>
            </w:r>
          </w:p>
        </w:tc>
      </w:tr>
    </w:tbl>
    <w:p>
      <w:pPr>
        <w:spacing w:after="40"/>
      </w:pPr>
    </w:p>
    <w:p>
      <w:pPr>
        <w:pStyle w:val="Heading1"/>
      </w:pPr>
      <w:r>
        <w:t>3. Disponibilité, continuité et sauvegarde</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NFR-AVL-001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 MVP doit viser 99 % de disponibilité hors maintenance planifiée.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Suivi mensuel.</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NFR-AVL-002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Les données validées doivent être sauvegardées quotidiennement et avant migration.</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Journal et test de sauvegarde.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NFR-AVL-003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RPO cible : 24 h au MVP ; RTO cible : 8 h.</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Exercice de restauration.</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NFR-AVL-004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Un calcul interrompu ne doit pas corrompre le projet ou les résultats précédents.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Test d’arrêt forcé.</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NFR-AVL-005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exports doivent être régénérables depuis les données versionnées.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Reproduction bit-à-bit lorsque possible.</w:t>
            </w:r>
          </w:p>
        </w:tc>
      </w:tr>
    </w:tbl>
    <w:p>
      <w:pPr>
        <w:spacing w:after="40"/>
      </w:pPr>
    </w:p>
    <w:p>
      <w:pPr>
        <w:pStyle w:val="Heading1"/>
      </w:pPr>
      <w:r>
        <w:t>4. Sécurité et contrôle d’accès</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NFR-SEC-001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Authentification robuste et mots de passe hachés avec algorithme moderne.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Audit technique.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NFR-SEC-002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RBAC par organisation, site, projet et action.</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Tests d’accès négatifs.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NFR-SEC-003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Chiffrement TLS en transit et chiffrement des secrets au repos.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Configuration vérifiée.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NFR-SEC-004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Aucun secret ne doit être stocké dans le dépôt de code.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Scan CI.</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NFR-SEC-005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connexions SCADA futures doivent être en lecture seule et isolées.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Architecture et test.</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NFR-SEC-006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Les journaux ne doivent pas contenir de secrets ni de données sensibles inutiles.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Revue des logs.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NFR-SEC-007</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dépendances doivent être scannées et mises à jour selon une politique documentée.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Rapport automatique.</w:t>
            </w:r>
          </w:p>
        </w:tc>
      </w:tr>
    </w:tbl>
    <w:p>
      <w:pPr>
        <w:spacing w:after="40"/>
      </w:pPr>
    </w:p>
    <w:p>
      <w:pPr>
        <w:pStyle w:val="Heading1"/>
      </w:pPr>
      <w:r>
        <w:t>5. Intégrité scientifique et reproductibilité</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NFR-SCI-001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Chaque calcul doit enregistrer les entrées, tolérances, version du moteur et méthode.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Trace complète.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NFR-SCI-002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Les calculs doivent être déterministes à entrées identiques, sauf algorithme explicitement stochastique.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Test de répétabilité.</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NFR-SCI-003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équations et corrélations doivent avoir une source, un domaine de validité et des tests.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Registre scientifique.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NFR-SCI-004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Les extrapolations, approximations et valeurs par défaut doivent être signalées.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Avertissements dans rapport.</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NFR-SCI-005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Aucun résultat ne doit être déclaré valide si le bilan de masse ou la convergence dépasse la tolérance.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Blocage documenté.</w:t>
            </w:r>
          </w:p>
        </w:tc>
      </w:tr>
    </w:tbl>
    <w:p>
      <w:pPr>
        <w:spacing w:after="40"/>
      </w:pPr>
    </w:p>
    <w:p>
      <w:pPr>
        <w:pStyle w:val="Heading1"/>
      </w:pPr>
      <w:r>
        <w:t>6. Utilisabilité et accessibilité</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NFR-UX-001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L’interface doit être disponible en français et préparée pour l’internationalisation.</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Catalogue de traductions.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NFR-UX-002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Les unités doivent toujours être visibles avec les valeurs.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Audit écran/rapport.</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NFR-UX-003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erreurs doivent expliquer la cause et l’action corrective.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Revue de messages.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NFR-UX-004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Les tableaux et graphiques doivent être lisibles sur écran 1366x768 minimum.</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Test responsive.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NFR-UX-005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écrans principaux doivent respecter les principes WCAG 2.2 AA autant que possible.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Audit accessibilité.</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NFR-UX-006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Un utilisateur formé doit créer et calculer un cas simple en moins de 30 minutes.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Test utilisateur.</w:t>
            </w:r>
          </w:p>
        </w:tc>
      </w:tr>
    </w:tbl>
    <w:p>
      <w:pPr>
        <w:spacing w:after="40"/>
      </w:pPr>
    </w:p>
    <w:p>
      <w:pPr>
        <w:pStyle w:val="Heading1"/>
      </w:pPr>
      <w:r>
        <w:t>7. Portabilité et déploiement</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NFR-DEP-001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Déploiement conteneurisé sur Linux, local ou cloud privé.</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Procédure automatisée.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NFR-DEP-002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 navigateur doit être le client principal, sans installation lourde.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Test Chrome/Edge/Firefox récents.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NFR-DEP-003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 système doit fonctionner sans Internet après installation locale.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Test réseau isolé.</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NFR-DEP-004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Les migrations de base doivent être versionnées et réversibles lorsque possible.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Test upgrade/downgrade.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NFR-DEP-005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configurations doivent être externalisées par environnement.</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Aucun changement de code.</w:t>
            </w:r>
          </w:p>
        </w:tc>
      </w:tr>
    </w:tbl>
    <w:p>
      <w:pPr>
        <w:spacing w:after="40"/>
      </w:pPr>
    </w:p>
    <w:p>
      <w:pPr>
        <w:pStyle w:val="Heading1"/>
      </w:pPr>
      <w:r>
        <w:t>8. Maintenabilité et architecture</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NFR-MNT-001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Architecture monolithe modulaire au MVP, avec frontières de domaine explicites.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Analyse des dépendances.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NFR-MNT-002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Couverture minimale de tests : 80 % pour le noyau de calcul, 65 % global.</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Rapport CI.</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NFR-MNT-003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Typage statique Python et TypeScript sans erreurs critiques.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mypy/pyright et tsc.</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NFR-MNT-004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Documentation API générée et exemples exécutables.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OpenAPI disponible.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NFR-MNT-005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modules scientifiques doivent être utilisables sans l’interface web.</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Tests de bibliothèque.</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NFR-MNT-006</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La complexité et les dettes techniques doivent être revues à chaque version.</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Registre de dette.</w:t>
            </w:r>
          </w:p>
        </w:tc>
      </w:tr>
    </w:tbl>
    <w:p>
      <w:pPr>
        <w:spacing w:after="40"/>
      </w:pPr>
    </w:p>
    <w:p>
      <w:pPr>
        <w:pStyle w:val="Heading1"/>
      </w:pPr>
      <w:r>
        <w:t>9. Observabilité</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NFR-OBS-001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Logs structurés avec corrélation par requête et calcul.</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Recherche d’un incident de bout en bout.</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NFR-OBS-002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Mesures de durée, erreurs, files de calcul, CPU, mémoire et base.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Tableau de bord technique.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NFR-OBS-003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Journal scientifique distinct du journal applicatif.</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Trace des itérations et résidus.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NFR-OBS-004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Alertes sur échec de sauvegarde, saturation et erreurs répétées.</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Test d’alerte.</w:t>
            </w:r>
          </w:p>
        </w:tc>
      </w:tr>
    </w:tbl>
    <w:p>
      <w:pPr>
        <w:spacing w:after="40"/>
      </w:pPr>
    </w:p>
    <w:p>
      <w:pPr>
        <w:pStyle w:val="Heading1"/>
      </w:pPr>
      <w:r>
        <w:t>10. Données, confidentialité et rétention</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5"/>
              </w:rPr>
              <w:t>Exigence</w:t>
            </w:r>
          </w:p>
        </w:tc>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5"/>
              </w:rPr>
              <w:t>Priorité</w:t>
            </w:r>
          </w:p>
        </w:tc>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5"/>
              </w:rPr>
              <w:t>Critère d’acceptation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NFR-DATA-001</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données d’une organisation doivent être isolées logiquement et contrôlées.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Tests multi-tenant logiques.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NFR-DATA-002</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Les suppressions doivent être logiques avant purge contrôlée.</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Restauration pendant délai.</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NFR-DATA-003</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politiques de rétention doivent être configurables par type de donnée.</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SHOULD</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Règle appliquée en test.</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NFR-DATA-004</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5"/>
              </w:rPr>
              <w:t>Les données historiques doivent conserver horodatage source et qualité.</w:t>
            </w:r>
          </w:p>
        </w:tc>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5"/>
              </w:rPr>
              <w:t>Schéma D09 respecté.</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NFR-DATA-005</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5"/>
              </w:rPr>
              <w:t>Les exports doivent respecter les permissions et être journalisés.</w:t>
            </w:r>
          </w:p>
        </w:tc>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5"/>
              </w:rPr>
              <w:t>MUST</w:t>
            </w:r>
          </w:p>
        </w:tc>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5"/>
              </w:rPr>
              <w:t>Audit export.</w:t>
            </w:r>
          </w:p>
        </w:tc>
      </w:tr>
    </w:tbl>
    <w:p>
      <w:pPr>
        <w:spacing w:after="40"/>
      </w:pPr>
    </w:p>
    <w:p>
      <w:pPr>
        <w:pStyle w:val="Heading1"/>
      </w:pPr>
      <w:r>
        <w:t>11. Conformité et normes</w:t>
      </w:r>
    </w:p>
    <w:p>
      <w:pPr>
        <w:pStyle w:val="ListBullet"/>
      </w:pPr>
      <w:r>
        <w:t>Le logiciel doit permettre de sélectionner et versionner le référentiel applicable.</w:t>
      </w:r>
    </w:p>
    <w:p>
      <w:pPr>
        <w:pStyle w:val="ListBullet"/>
      </w:pPr>
      <w:r>
        <w:t>L’équipe ne doit pas recopier intégralement les normes protégées ; elle implémente des règles issues de textes acquis légalement.</w:t>
      </w:r>
    </w:p>
    <w:p>
      <w:pPr>
        <w:pStyle w:val="ListBullet"/>
      </w:pPr>
      <w:r>
        <w:t>Toute règle normative doit être approuvée par un expert avant activation en production.</w:t>
      </w:r>
    </w:p>
    <w:p>
      <w:pPr>
        <w:pStyle w:val="ListBullet"/>
      </w:pPr>
      <w:r>
        <w:t>Les éditions et interprétations doivent être revues au début de chaque projet réel.</w:t>
      </w:r>
    </w:p>
    <w:p>
      <w:pPr>
        <w:pStyle w:val="ListBullet"/>
      </w:pPr>
      <w:r>
        <w:t>La conformité locale et l’évaluation environnementale restent sous responsabilité du maître d’ouvrage et des autorités.</w:t>
      </w:r>
    </w:p>
    <w:p>
      <w:pPr>
        <w:pStyle w:val="Heading1"/>
      </w:pPr>
      <w:r>
        <w:t>12. Recette non fonctionnelle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6"/>
              </w:rPr>
              <w:t>Domaine</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6"/>
              </w:rPr>
              <w:t>Test de sortie MVP</w:t>
            </w:r>
          </w:p>
        </w:tc>
        <w:tc>
          <w:tcPr>
            <w:tcW w:type="dxa" w:w="3061"/>
            <w:vAlign w:val="center"/>
            <w:tcMar>
              <w:top w:w="80" w:type="dxa"/>
              <w:start w:w="90" w:type="dxa"/>
              <w:bottom w:w="80" w:type="dxa"/>
              <w:end w:w="90" w:type="dxa"/>
            </w:tcMar>
            <w:shd w:fill="17365D"/>
          </w:tcPr>
          <w:p>
            <w:pPr>
              <w:spacing w:after="0"/>
            </w:pPr>
            <w:r/>
            <w:r>
              <w:rPr>
                <w:rFonts w:ascii="Carlito" w:hAnsi="Carlito" w:eastAsia="Carlito"/>
                <w:b/>
                <w:color w:val="FFFFFF"/>
                <w:sz w:val="16"/>
              </w:rPr>
              <w:t>Seuil de réussite</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Performance</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Benchmark 1 000 tronçons</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P95 &lt; 10 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Robustesse</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100 cas invalides/non convergents</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100 % diagnostiqués sans corruption</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Sécurité</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Scan SAST, dépendances et RBAC</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Aucune vulnérabilité critique ouverte</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Restauration</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Restauration d’une sauvegarde complète</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RPO/RTO respectés</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Reproductibilité</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10 répétitions de cas de référence</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Résultats identiques aux tolérances</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Portabilité</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Installation sur deux environnements</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6"/>
              </w:rPr>
              <w:t>Procédure sans modification de code</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Qualité</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Tests automatiques</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6"/>
              </w:rPr>
              <w:t>Seuils de couverture atteints</w:t>
            </w:r>
          </w:p>
        </w:tc>
      </w:tr>
    </w:tbl>
    <w:p>
      <w:pPr>
        <w:spacing w:after="40"/>
      </w:pPr>
    </w:p>
    <w:p>
      <w:pPr>
        <w:pStyle w:val="Heading1"/>
      </w:pPr>
      <w:r>
        <w:t>Sources et références</w:t>
      </w:r>
    </w:p>
    <w:p>
      <w:pPr>
        <w:pStyle w:val="ListBullet"/>
      </w:pPr>
      <w:r>
        <w:t>D04 - Cahier des charges fonctionnel.</w:t>
      </w:r>
    </w:p>
    <w:p>
      <w:pPr>
        <w:pStyle w:val="ListBullet"/>
      </w:pPr>
      <w:r>
        <w:t>D11 à D18 - Architecture, sécurité, développement et qualité.</w:t>
      </w:r>
    </w:p>
    <w:p>
      <w:pPr>
        <w:pStyle w:val="ListBullet"/>
      </w:pPr>
      <w:r>
        <w:t>IEC 62443, IEC 61511 et bonnes pratiques OWASP utilisées comme guides, selon périmètre.</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D05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Exigences non fonctionnelles</dc:title>
  <dc:subject>Plateforme de transport et de stockage des hydrocarbures</dc:subject>
  <dc:creator>Équipe projet (2 développeurs assistés par IA)</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