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Liberation Sans" w:hAnsi="Liberation Sans"/>
          <w:b/>
          <w:color w:val="0F6B78"/>
          <w:sz w:val="36"/>
        </w:rPr>
        <w:t>Plateforme de transport et de stockage des hydrocarbures</w:t>
      </w:r>
    </w:p>
    <w:p>
      <w:pPr>
        <w:spacing w:before="520"/>
        <w:jc w:val="center"/>
      </w:pPr>
      <w:r>
        <w:rPr>
          <w:rFonts w:ascii="Liberation Sans" w:hAnsi="Liberation Sans"/>
          <w:b/>
          <w:color w:val="17365D"/>
          <w:sz w:val="40"/>
        </w:rPr>
        <w:t>D06</w:t>
      </w:r>
    </w:p>
    <w:p>
      <w:pPr>
        <w:spacing w:before="160"/>
        <w:jc w:val="center"/>
      </w:pPr>
      <w:r>
        <w:rPr>
          <w:rFonts w:ascii="Liberation Sans" w:hAnsi="Liberation Sans"/>
          <w:b/>
          <w:color w:val="17365D"/>
          <w:sz w:val="52"/>
        </w:rPr>
        <w:t>Catalogue des cas d’usage et scénarios</w:t>
      </w:r>
    </w:p>
    <w:p>
      <w:pPr>
        <w:spacing w:before="200"/>
        <w:jc w:val="center"/>
      </w:pPr>
      <w:r>
        <w:rPr>
          <w:rFonts w:ascii="Carlito" w:hAnsi="Carlito"/>
          <w:i/>
          <w:color w:val="243447"/>
          <w:sz w:val="25"/>
        </w:rPr>
        <w:t>Cas d’usage métier, modes normaux, dégradés et de secours</w:t>
      </w:r>
    </w:p>
    <w:p>
      <w:pPr>
        <w:spacing w:before="840"/>
      </w:pPr>
    </w:p>
    <w:tbl>
      <w:tblPr>
        <w:tblStyle w:val="TableGrid"/>
        <w:tblW w:type="auto" w:w="0"/>
        <w:jc w:val="center"/>
        <w:tblLook w:firstColumn="1" w:firstRow="1" w:lastColumn="0" w:lastRow="0" w:noHBand="0" w:noVBand="1" w:val="04A0"/>
      </w:tblPr>
      <w:tblGrid>
        <w:gridCol w:w="4989"/>
        <w:gridCol w:w="4989"/>
      </w:tblGrid>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Version</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1.0</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Date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août 2026</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Statut</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Référence de conception - à valider par l’équipe</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Équipe</w:t>
            </w:r>
          </w:p>
        </w:tc>
        <w:tc>
          <w:tcPr>
            <w:tcW w:type="dxa" w:w="4989"/>
            <w:vAlign w:val="center"/>
            <w:tcMar>
              <w:top w:w="80" w:type="dxa"/>
              <w:start w:w="90" w:type="dxa"/>
              <w:bottom w:w="80" w:type="dxa"/>
              <w:end w:w="90" w:type="dxa"/>
            </w:tcMar>
            <w:shd w:fill="FFFFFF"/>
          </w:tcPr>
          <w:p>
            <w:pPr>
              <w:spacing w:after="0"/>
            </w:pPr>
            <w:r/>
            <w:r>
              <w:rPr>
                <w:rFonts w:ascii="Carlito" w:hAnsi="Carlito" w:eastAsia="Carlito"/>
                <w:b w:val="0"/>
                <w:color w:val="243447"/>
                <w:sz w:val="18"/>
              </w:rPr>
              <w:t>2 développeurs, avec assistants IA</w:t>
            </w:r>
          </w:p>
        </w:tc>
      </w:tr>
      <w:tr>
        <w:tc>
          <w:tcPr>
            <w:tcW w:type="dxa" w:w="4989"/>
            <w:vAlign w:val="center"/>
            <w:tcMar>
              <w:top w:w="80" w:type="dxa"/>
              <w:start w:w="90" w:type="dxa"/>
              <w:bottom w:w="80" w:type="dxa"/>
              <w:end w:w="90" w:type="dxa"/>
            </w:tcMar>
            <w:shd w:fill="17365D"/>
          </w:tcPr>
          <w:p>
            <w:pPr>
              <w:spacing w:after="0"/>
            </w:pPr>
            <w:r/>
            <w:r>
              <w:rPr>
                <w:rFonts w:ascii="Carlito" w:hAnsi="Carlito" w:eastAsia="Carlito"/>
                <w:b/>
                <w:color w:val="FFFFFF"/>
                <w:sz w:val="18"/>
              </w:rPr>
              <w:t>Référentiel</w:t>
            </w:r>
          </w:p>
        </w:tc>
        <w:tc>
          <w:tcPr>
            <w:tcW w:type="dxa" w:w="4989"/>
            <w:vAlign w:val="center"/>
            <w:tcMar>
              <w:top w:w="80" w:type="dxa"/>
              <w:start w:w="90" w:type="dxa"/>
              <w:bottom w:w="80" w:type="dxa"/>
              <w:end w:w="90" w:type="dxa"/>
            </w:tcMar>
            <w:shd w:fill="F2F2F2"/>
          </w:tcPr>
          <w:p>
            <w:pPr>
              <w:spacing w:after="0"/>
            </w:pPr>
            <w:r/>
            <w:r>
              <w:rPr>
                <w:rFonts w:ascii="Carlito" w:hAnsi="Carlito" w:eastAsia="Carlito"/>
                <w:b w:val="0"/>
                <w:color w:val="243447"/>
                <w:sz w:val="18"/>
              </w:rPr>
              <w:t>ASME, API, ISO, IEC, ISA et exigences locales applicables</w:t>
            </w:r>
          </w:p>
        </w:tc>
      </w:tr>
    </w:tbl>
    <w:p/>
    <w:p>
      <w:pPr>
        <w:ind w:left="850" w:right="850"/>
        <w:jc w:val="center"/>
      </w:pPr>
      <w:r>
        <w:rPr>
          <w:i/>
          <w:color w:val="667788"/>
          <w:sz w:val="17"/>
        </w:rPr>
        <w:t>Note : ce document structure la conception du logiciel. Il ne remplace ni les textes normatifs achetés auprès de leurs éditeurs, ni les validations d’un ingénieur habilité, ni les autorisations réglementaires d’un site réel.</w:t>
      </w:r>
    </w:p>
    <w:p>
      <w:r>
        <w:br w:type="page"/>
      </w:r>
    </w:p>
    <w:p>
      <w:pPr>
        <w:pStyle w:val="Heading1"/>
      </w:pPr>
      <w:r>
        <w:t>Contrôle du document</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vAlign w:val="center"/>
            <w:tcMar>
              <w:top w:w="80" w:type="dxa"/>
              <w:start w:w="90" w:type="dxa"/>
              <w:bottom w:w="80" w:type="dxa"/>
              <w:end w:w="90" w:type="dxa"/>
            </w:tcMar>
            <w:shd w:fill="17365D"/>
          </w:tcPr>
          <w:p>
            <w:pPr>
              <w:spacing w:after="0"/>
            </w:pPr>
            <w:r/>
            <w:r>
              <w:rPr>
                <w:rFonts w:ascii="Carlito" w:hAnsi="Carlito" w:eastAsia="Carlito"/>
                <w:b/>
                <w:color w:val="FFFFFF"/>
                <w:sz w:val="18"/>
              </w:rPr>
              <w:t>Champ</w:t>
            </w:r>
          </w:p>
        </w:tc>
        <w:tc>
          <w:tcPr>
            <w:tcW w:type="dxa" w:w="6917"/>
            <w:vAlign w:val="center"/>
            <w:tcMar>
              <w:top w:w="80" w:type="dxa"/>
              <w:start w:w="90" w:type="dxa"/>
              <w:bottom w:w="80" w:type="dxa"/>
              <w:end w:w="90" w:type="dxa"/>
            </w:tcMar>
            <w:shd w:fill="17365D"/>
          </w:tcPr>
          <w:p>
            <w:pPr>
              <w:spacing w:after="0"/>
            </w:pPr>
            <w:r/>
            <w:r>
              <w:rPr>
                <w:rFonts w:ascii="Carlito" w:hAnsi="Carlito" w:eastAsia="Carlito"/>
                <w:b/>
                <w:color w:val="FFFFFF"/>
                <w:sz w:val="18"/>
              </w:rPr>
              <w:t>Valeur</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Code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D06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Version</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1.0</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Date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2 août 2026</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Auteur</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Équipe projet - 2 développeurs assistés par IA</w:t>
            </w:r>
          </w:p>
        </w:tc>
      </w:tr>
      <w:tr>
        <w:tc>
          <w:tcPr>
            <w:tcW w:type="dxa" w:w="2381"/>
            <w:vAlign w:val="center"/>
            <w:tcMar>
              <w:top w:w="80" w:type="dxa"/>
              <w:start w:w="90" w:type="dxa"/>
              <w:bottom w:w="80" w:type="dxa"/>
              <w:end w:w="90" w:type="dxa"/>
            </w:tcMar>
            <w:shd w:fill="F2F2F2"/>
          </w:tcPr>
          <w:p>
            <w:pPr>
              <w:spacing w:after="0"/>
            </w:pPr>
            <w:r/>
            <w:r>
              <w:rPr>
                <w:rFonts w:ascii="Carlito" w:hAnsi="Carlito" w:eastAsia="Carlito"/>
                <w:b w:val="0"/>
                <w:color w:val="243447"/>
                <w:sz w:val="18"/>
              </w:rPr>
              <w:t>Validation attendue</w:t>
            </w:r>
          </w:p>
        </w:tc>
        <w:tc>
          <w:tcPr>
            <w:tcW w:type="dxa" w:w="6917"/>
            <w:vAlign w:val="center"/>
            <w:tcMar>
              <w:top w:w="80" w:type="dxa"/>
              <w:start w:w="90" w:type="dxa"/>
              <w:bottom w:w="80" w:type="dxa"/>
              <w:end w:w="90" w:type="dxa"/>
            </w:tcMar>
            <w:shd w:fill="F2F2F2"/>
          </w:tcPr>
          <w:p>
            <w:pPr>
              <w:spacing w:after="0"/>
            </w:pPr>
            <w:r/>
            <w:r>
              <w:rPr>
                <w:rFonts w:ascii="Carlito" w:hAnsi="Carlito" w:eastAsia="Carlito"/>
                <w:b w:val="0"/>
                <w:color w:val="243447"/>
                <w:sz w:val="18"/>
              </w:rPr>
              <w:t>Relecture technique, métier et réglementaire</w:t>
            </w:r>
          </w:p>
        </w:tc>
      </w:tr>
      <w:tr>
        <w:tc>
          <w:tcPr>
            <w:tcW w:type="dxa" w:w="2381"/>
            <w:vAlign w:val="center"/>
            <w:tcMar>
              <w:top w:w="80" w:type="dxa"/>
              <w:start w:w="90" w:type="dxa"/>
              <w:bottom w:w="80" w:type="dxa"/>
              <w:end w:w="90" w:type="dxa"/>
            </w:tcMar>
          </w:tcPr>
          <w:p>
            <w:pPr>
              <w:spacing w:after="0"/>
            </w:pPr>
            <w:r/>
            <w:r>
              <w:rPr>
                <w:rFonts w:ascii="Carlito" w:hAnsi="Carlito" w:eastAsia="Carlito"/>
                <w:b w:val="0"/>
                <w:color w:val="243447"/>
                <w:sz w:val="18"/>
              </w:rPr>
              <w:t>Statut</w:t>
            </w:r>
          </w:p>
        </w:tc>
        <w:tc>
          <w:tcPr>
            <w:tcW w:type="dxa" w:w="6917"/>
            <w:vAlign w:val="center"/>
            <w:tcMar>
              <w:top w:w="80" w:type="dxa"/>
              <w:start w:w="90" w:type="dxa"/>
              <w:bottom w:w="80" w:type="dxa"/>
              <w:end w:w="90" w:type="dxa"/>
            </w:tcMar>
          </w:tcPr>
          <w:p>
            <w:pPr>
              <w:spacing w:after="0"/>
            </w:pPr>
            <w:r/>
            <w:r>
              <w:rPr>
                <w:rFonts w:ascii="Carlito" w:hAnsi="Carlito" w:eastAsia="Carlito"/>
                <w:b w:val="0"/>
                <w:color w:val="243447"/>
                <w:sz w:val="18"/>
              </w:rPr>
              <w:t>Document de référence pour la conception</w:t>
            </w:r>
          </w:p>
        </w:tc>
      </w:tr>
    </w:tbl>
    <w:p>
      <w:pPr>
        <w:spacing w:after="40"/>
      </w:pPr>
    </w:p>
    <w:p>
      <w:pPr>
        <w:pStyle w:val="Heading1"/>
      </w:pPr>
      <w:r>
        <w:t>Table des matières</w:t>
      </w:r>
    </w:p>
    <w:p>
      <w:pPr>
        <w:pStyle w:val="ListNumber"/>
      </w:pPr>
      <w:r>
        <w:t>Convention</w:t>
      </w:r>
    </w:p>
    <w:p>
      <w:pPr>
        <w:pStyle w:val="ListNumber"/>
      </w:pPr>
      <w:r>
        <w:t>Cas d’usage prioritaires</w:t>
      </w:r>
    </w:p>
    <w:p>
      <w:pPr>
        <w:pStyle w:val="ListNumber"/>
      </w:pPr>
      <w:r>
        <w:t>Scénarios pipeline</w:t>
      </w:r>
    </w:p>
    <w:p>
      <w:pPr>
        <w:pStyle w:val="ListNumber"/>
      </w:pPr>
      <w:r>
        <w:t>Scénarios dépôt</w:t>
      </w:r>
    </w:p>
    <w:p>
      <w:pPr>
        <w:pStyle w:val="ListNumber"/>
      </w:pPr>
      <w:r>
        <w:t>Scénarios données</w:t>
      </w:r>
    </w:p>
    <w:p>
      <w:pPr>
        <w:pStyle w:val="ListNumber"/>
      </w:pPr>
      <w:r>
        <w:t>Scénarios gaz futurs</w:t>
      </w:r>
    </w:p>
    <w:p>
      <w:pPr>
        <w:pStyle w:val="ListNumber"/>
      </w:pPr>
      <w:r>
        <w:t>Fiches détaillées</w:t>
      </w:r>
    </w:p>
    <w:p>
      <w:pPr>
        <w:pStyle w:val="ListNumber"/>
      </w:pPr>
      <w:r>
        <w:t>Matrice de couverture</w:t>
      </w:r>
    </w:p>
    <w:p>
      <w:r>
        <w:rPr>
          <w:i/>
          <w:color w:val="6B7785"/>
          <w:sz w:val="17"/>
        </w:rPr>
        <w:t>La pagination peut évoluer après validation et mise en forme finale dans Microsoft Word ou LibreOffice.</w:t>
      </w:r>
    </w:p>
    <w:p>
      <w:r>
        <w:br w:type="page"/>
      </w:r>
    </w:p>
    <w:p>
      <w:pPr>
        <w:pStyle w:val="Heading1"/>
      </w:pPr>
      <w:r>
        <w:t>1. Convention</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6803"/>
            <w:vAlign w:val="center"/>
            <w:tcMar>
              <w:top w:w="80" w:type="dxa"/>
              <w:start w:w="90" w:type="dxa"/>
              <w:bottom w:w="80" w:type="dxa"/>
              <w:end w:w="90" w:type="dxa"/>
            </w:tcMar>
            <w:shd w:fill="17365D"/>
          </w:tcPr>
          <w:p>
            <w:pPr>
              <w:spacing w:after="0"/>
            </w:pPr>
            <w:r/>
            <w:r>
              <w:rPr>
                <w:rFonts w:ascii="Carlito" w:hAnsi="Carlito" w:eastAsia="Carlito"/>
                <w:b/>
                <w:color w:val="FFFFFF"/>
                <w:sz w:val="17"/>
              </w:rPr>
              <w:t>Définition</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Acteur principal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Rôle qui déclenche le cas d’usage.</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Préconditions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Données et autorisations nécessaires.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Flux nominal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Étapes de réussite.</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Alternatives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Erreurs, contraintes ou branches.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Postconditions</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État final et données enregistrées.</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Critère de réussite</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Résultat mesurable pour la recette.</w:t>
            </w:r>
          </w:p>
        </w:tc>
      </w:tr>
    </w:tbl>
    <w:p>
      <w:pPr>
        <w:spacing w:after="40"/>
      </w:pPr>
    </w:p>
    <w:p>
      <w:pPr>
        <w:pStyle w:val="Heading1"/>
      </w:pPr>
      <w:r>
        <w:t>2. Catalogue prioritaire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91"/>
            <w:vAlign w:val="center"/>
            <w:tcMar>
              <w:top w:w="80" w:type="dxa"/>
              <w:start w:w="90" w:type="dxa"/>
              <w:bottom w:w="80" w:type="dxa"/>
              <w:end w:w="90" w:type="dxa"/>
            </w:tcMar>
            <w:shd w:fill="17365D"/>
          </w:tcPr>
          <w:p>
            <w:pPr>
              <w:spacing w:after="0"/>
            </w:pPr>
            <w:r/>
            <w:r>
              <w:rPr>
                <w:rFonts w:ascii="Carlito" w:hAnsi="Carlito" w:eastAsia="Carlito"/>
                <w:b/>
                <w:color w:val="FFFFFF"/>
                <w:sz w:val="16"/>
              </w:rPr>
              <w:t>ID</w:t>
            </w:r>
          </w:p>
        </w:tc>
        <w:tc>
          <w:tcPr>
            <w:tcW w:type="dxa" w:w="4819"/>
            <w:vAlign w:val="center"/>
            <w:tcMar>
              <w:top w:w="80" w:type="dxa"/>
              <w:start w:w="90" w:type="dxa"/>
              <w:bottom w:w="80" w:type="dxa"/>
              <w:end w:w="90" w:type="dxa"/>
            </w:tcMar>
            <w:shd w:fill="17365D"/>
          </w:tcPr>
          <w:p>
            <w:pPr>
              <w:spacing w:after="0"/>
            </w:pPr>
            <w:r/>
            <w:r>
              <w:rPr>
                <w:rFonts w:ascii="Carlito" w:hAnsi="Carlito" w:eastAsia="Carlito"/>
                <w:b/>
                <w:color w:val="FFFFFF"/>
                <w:sz w:val="16"/>
              </w:rPr>
              <w:t>Cas d’usage</w:t>
            </w:r>
          </w:p>
        </w:tc>
        <w:tc>
          <w:tcPr>
            <w:tcW w:type="dxa" w:w="1984"/>
            <w:vAlign w:val="center"/>
            <w:tcMar>
              <w:top w:w="80" w:type="dxa"/>
              <w:start w:w="90" w:type="dxa"/>
              <w:bottom w:w="80" w:type="dxa"/>
              <w:end w:w="90" w:type="dxa"/>
            </w:tcMar>
            <w:shd w:fill="17365D"/>
          </w:tcPr>
          <w:p>
            <w:pPr>
              <w:spacing w:after="0"/>
            </w:pPr>
            <w:r/>
            <w:r>
              <w:rPr>
                <w:rFonts w:ascii="Carlito" w:hAnsi="Carlito" w:eastAsia="Carlito"/>
                <w:b/>
                <w:color w:val="FFFFFF"/>
                <w:sz w:val="16"/>
              </w:rPr>
              <w:t>Acteur</w:t>
            </w:r>
          </w:p>
        </w:tc>
        <w:tc>
          <w:tcPr>
            <w:tcW w:type="dxa" w:w="1417"/>
            <w:vAlign w:val="center"/>
            <w:tcMar>
              <w:top w:w="80" w:type="dxa"/>
              <w:start w:w="90" w:type="dxa"/>
              <w:bottom w:w="80" w:type="dxa"/>
              <w:end w:w="90" w:type="dxa"/>
            </w:tcMar>
            <w:shd w:fill="17365D"/>
          </w:tcPr>
          <w:p>
            <w:pPr>
              <w:spacing w:after="0"/>
            </w:pPr>
            <w:r/>
            <w:r>
              <w:rPr>
                <w:rFonts w:ascii="Carlito" w:hAnsi="Carlito" w:eastAsia="Carlito"/>
                <w:b/>
                <w:color w:val="FFFFFF"/>
                <w:sz w:val="16"/>
              </w:rPr>
              <w:t>Phase</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UC-001</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Créer un projet et son référentiel</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UC-002</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Importer un profil et construire le réseau</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UC-003</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Créer une fiche produit et ses propriétés</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UC-004</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Importer une courbe de pompe</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UC-005</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Calculer le régime hydraulique de référence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UC-006</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Configurer plusieurs pompes en série/parallèle</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UC-007</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Simuler une pompe indisponible et activer le secours</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Exploitant</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UC-008</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Comparer des modes de pompage</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Exploitant</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UC-009</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Créer un réservoir et importer son barémage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 dépôt</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UC-010</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Simuler un transfert bac-à-bac</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Ingénieur dépôt</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UC-011</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Établir un bilan matière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Exploitant dépôt</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UC-012</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Générer une note de calcul</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UC-013</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Importer des historiques CSV/Excel</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Analyste</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MVP</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UC-014</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Comparer mesures et simulation</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Analyste</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V1</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UC-015</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Simuler un coup de bélier</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Ingénieur</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V2</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UC-016</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Suivre un lot multiproduit</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Dispatcher</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V2</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UC-017</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Lire des tags OPC UA</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Administrateur</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V3</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UC-018</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Calculer un réseau gaz et ses compresseurs</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Ingénieur gaz</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V4</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UC-019</w:t>
            </w:r>
          </w:p>
        </w:tc>
        <w:tc>
          <w:tcPr>
            <w:tcW w:type="dxa" w:w="4819"/>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Détecter une fuite</w:t>
            </w:r>
          </w:p>
        </w:tc>
        <w:tc>
          <w:tcPr>
            <w:tcW w:type="dxa" w:w="1984"/>
            <w:vAlign w:val="center"/>
            <w:tcMar>
              <w:top w:w="80" w:type="dxa"/>
              <w:start w:w="90" w:type="dxa"/>
              <w:bottom w:w="80" w:type="dxa"/>
              <w:end w:w="90" w:type="dxa"/>
            </w:tcMar>
            <w:shd w:fill="F2F2F2"/>
          </w:tcPr>
          <w:p>
            <w:pPr>
              <w:spacing w:after="0"/>
            </w:pPr>
            <w:r/>
            <w:r>
              <w:rPr>
                <w:rFonts w:ascii="Carlito" w:hAnsi="Carlito" w:eastAsia="Carlito"/>
                <w:b w:val="0"/>
                <w:color w:val="243447"/>
                <w:sz w:val="16"/>
              </w:rPr>
              <w:t>Exploitant/HSE</w:t>
            </w:r>
          </w:p>
        </w:tc>
        <w:tc>
          <w:tcPr>
            <w:tcW w:type="dxa" w:w="1417"/>
            <w:vAlign w:val="center"/>
            <w:tcMar>
              <w:top w:w="80" w:type="dxa"/>
              <w:start w:w="90" w:type="dxa"/>
              <w:bottom w:w="80" w:type="dxa"/>
              <w:end w:w="90" w:type="dxa"/>
            </w:tcMar>
            <w:shd w:fill="F2F2F2"/>
          </w:tcPr>
          <w:p>
            <w:pPr>
              <w:spacing w:after="0"/>
            </w:pPr>
            <w:r/>
            <w:r>
              <w:rPr>
                <w:rFonts w:ascii="Carlito" w:hAnsi="Carlito" w:eastAsia="Carlito"/>
                <w:b w:val="0"/>
                <w:color w:val="243447"/>
                <w:sz w:val="16"/>
              </w:rPr>
              <w:t>V5</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6"/>
              </w:rPr>
              <w:t>UC-020</w:t>
            </w:r>
          </w:p>
        </w:tc>
        <w:tc>
          <w:tcPr>
            <w:tcW w:type="dxa" w:w="4819"/>
            <w:vAlign w:val="center"/>
            <w:tcMar>
              <w:top w:w="80" w:type="dxa"/>
              <w:start w:w="90" w:type="dxa"/>
              <w:bottom w:w="80" w:type="dxa"/>
              <w:end w:w="90" w:type="dxa"/>
            </w:tcMar>
          </w:tcPr>
          <w:p>
            <w:pPr>
              <w:spacing w:after="0"/>
            </w:pPr>
            <w:r/>
            <w:r>
              <w:rPr>
                <w:rFonts w:ascii="Carlito" w:hAnsi="Carlito" w:eastAsia="Carlito"/>
                <w:b w:val="0"/>
                <w:color w:val="243447"/>
                <w:sz w:val="16"/>
              </w:rPr>
              <w:t>Former un opérateur sur incident</w:t>
            </w:r>
          </w:p>
        </w:tc>
        <w:tc>
          <w:tcPr>
            <w:tcW w:type="dxa" w:w="1984"/>
            <w:vAlign w:val="center"/>
            <w:tcMar>
              <w:top w:w="80" w:type="dxa"/>
              <w:start w:w="90" w:type="dxa"/>
              <w:bottom w:w="80" w:type="dxa"/>
              <w:end w:w="90" w:type="dxa"/>
            </w:tcMar>
          </w:tcPr>
          <w:p>
            <w:pPr>
              <w:spacing w:after="0"/>
            </w:pPr>
            <w:r/>
            <w:r>
              <w:rPr>
                <w:rFonts w:ascii="Carlito" w:hAnsi="Carlito" w:eastAsia="Carlito"/>
                <w:b w:val="0"/>
                <w:color w:val="243447"/>
                <w:sz w:val="16"/>
              </w:rPr>
              <w:t>Formateur</w:t>
            </w:r>
          </w:p>
        </w:tc>
        <w:tc>
          <w:tcPr>
            <w:tcW w:type="dxa" w:w="1417"/>
            <w:vAlign w:val="center"/>
            <w:tcMar>
              <w:top w:w="80" w:type="dxa"/>
              <w:start w:w="90" w:type="dxa"/>
              <w:bottom w:w="80" w:type="dxa"/>
              <w:end w:w="90" w:type="dxa"/>
            </w:tcMar>
          </w:tcPr>
          <w:p>
            <w:pPr>
              <w:spacing w:after="0"/>
            </w:pPr>
            <w:r/>
            <w:r>
              <w:rPr>
                <w:rFonts w:ascii="Carlito" w:hAnsi="Carlito" w:eastAsia="Carlito"/>
                <w:b w:val="0"/>
                <w:color w:val="243447"/>
                <w:sz w:val="16"/>
              </w:rPr>
              <w:t>V5</w:t>
            </w:r>
          </w:p>
        </w:tc>
      </w:tr>
    </w:tbl>
    <w:p>
      <w:pPr>
        <w:spacing w:after="40"/>
      </w:pPr>
    </w:p>
    <w:p>
      <w:pPr>
        <w:pStyle w:val="Heading1"/>
      </w:pPr>
      <w:r>
        <w:t>3. Scénarios de pipeline liquide</w:t>
      </w:r>
    </w:p>
    <w:tbl>
      <w:tblPr>
        <w:tblStyle w:val="TableGrid"/>
        <w:tblW w:type="auto" w:w="0"/>
        <w:jc w:val="center"/>
        <w:tblLook w:firstColumn="1" w:firstRow="1" w:lastColumn="0" w:lastRow="0" w:noHBand="0" w:noVBand="1" w:val="04A0"/>
      </w:tblPr>
      <w:tblGrid>
        <w:gridCol w:w="2495"/>
        <w:gridCol w:w="2495"/>
        <w:gridCol w:w="2495"/>
        <w:gridCol w:w="2495"/>
      </w:tblGrid>
      <w:tr>
        <w:trPr>
          <w:tblHeader w:val="true"/>
        </w:trPr>
        <w:tc>
          <w:tcPr>
            <w:tcW w:type="dxa" w:w="1191"/>
            <w:vAlign w:val="center"/>
            <w:tcMar>
              <w:top w:w="80" w:type="dxa"/>
              <w:start w:w="90" w:type="dxa"/>
              <w:bottom w:w="80" w:type="dxa"/>
              <w:end w:w="90" w:type="dxa"/>
            </w:tcMar>
            <w:shd w:fill="17365D"/>
          </w:tcPr>
          <w:p>
            <w:pPr>
              <w:spacing w:after="0"/>
            </w:pPr>
            <w:r/>
            <w:r>
              <w:rPr>
                <w:rFonts w:ascii="Carlito" w:hAnsi="Carlito" w:eastAsia="Carlito"/>
                <w:b/>
                <w:color w:val="FFFFFF"/>
                <w:sz w:val="15"/>
              </w:rPr>
              <w:t>ID</w:t>
            </w:r>
          </w:p>
        </w:tc>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5"/>
              </w:rPr>
              <w:t>Scénario</w:t>
            </w:r>
          </w:p>
        </w:tc>
        <w:tc>
          <w:tcPr>
            <w:tcW w:type="dxa" w:w="2891"/>
            <w:vAlign w:val="center"/>
            <w:tcMar>
              <w:top w:w="80" w:type="dxa"/>
              <w:start w:w="90" w:type="dxa"/>
              <w:bottom w:w="80" w:type="dxa"/>
              <w:end w:w="90" w:type="dxa"/>
            </w:tcMar>
            <w:shd w:fill="17365D"/>
          </w:tcPr>
          <w:p>
            <w:pPr>
              <w:spacing w:after="0"/>
            </w:pPr>
            <w:r/>
            <w:r>
              <w:rPr>
                <w:rFonts w:ascii="Carlito" w:hAnsi="Carlito" w:eastAsia="Carlito"/>
                <w:b/>
                <w:color w:val="FFFFFF"/>
                <w:sz w:val="15"/>
              </w:rPr>
              <w:t>Modifications</w:t>
            </w:r>
          </w:p>
        </w:tc>
        <w:tc>
          <w:tcPr>
            <w:tcW w:type="dxa" w:w="3061"/>
            <w:vAlign w:val="center"/>
            <w:tcMar>
              <w:top w:w="80" w:type="dxa"/>
              <w:start w:w="90" w:type="dxa"/>
              <w:bottom w:w="80" w:type="dxa"/>
              <w:end w:w="90" w:type="dxa"/>
            </w:tcMar>
            <w:shd w:fill="17365D"/>
          </w:tcPr>
          <w:p>
            <w:pPr>
              <w:spacing w:after="0"/>
            </w:pPr>
            <w:r/>
            <w:r>
              <w:rPr>
                <w:rFonts w:ascii="Carlito" w:hAnsi="Carlito" w:eastAsia="Carlito"/>
                <w:b/>
                <w:color w:val="FFFFFF"/>
                <w:sz w:val="15"/>
              </w:rPr>
              <w:t>Résultats attendus</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SC-L-01</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5"/>
              </w:rPr>
              <w:t>Fonctionnement normal</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5"/>
              </w:rPr>
              <w:t>Toutes stations disponibles</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Débit, pression, énergie et marges</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5"/>
              </w:rPr>
              <w:t>SC-L-02</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5"/>
              </w:rPr>
              <w:t>Une pompe arrêtée</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5"/>
              </w:rPr>
              <w:t>Pompe principale indisponible</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5"/>
              </w:rPr>
              <w:t>Capacité restante et besoin de secours</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SC-L-03</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5"/>
              </w:rPr>
              <w:t>Pompe de secours activée</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Substitution ou ajout</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5"/>
              </w:rPr>
              <w:t>Nouveau point et consommation</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5"/>
              </w:rPr>
              <w:t>SC-L-04</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5"/>
              </w:rPr>
              <w:t>Station contournée</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5"/>
              </w:rPr>
              <w:t>Bypass ouvert, pompes arrêtées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5"/>
              </w:rPr>
              <w:t>Débit maximal possible et pressions</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SC-L-05</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5"/>
              </w:rPr>
              <w:t>Perte totale d’une station</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5"/>
              </w:rPr>
              <w:t>Électricité/contrôle indisponible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5"/>
              </w:rPr>
              <w:t>Faisabilité et temps avant contrainte</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5"/>
              </w:rPr>
              <w:t>SC-L-06</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5"/>
              </w:rPr>
              <w:t>Filtre colmaté</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5"/>
              </w:rPr>
              <w:t>Coefficient de perte accru</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5"/>
              </w:rPr>
              <w:t>Baisse débit et NPSH</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SC-L-07</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5"/>
              </w:rPr>
              <w:t>Vanne partiellement fermée</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5"/>
              </w:rPr>
              <w:t>Kv/Cv modifié</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5"/>
              </w:rPr>
              <w:t>Surpression amont et perte</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5"/>
              </w:rPr>
              <w:t>SC-L-08</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5"/>
              </w:rPr>
              <w:t>Soutirage intermédiaire</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5"/>
              </w:rPr>
              <w:t>Débit extrait</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5"/>
              </w:rPr>
              <w:t>Bilan de masse par section</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SC-L-09</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5"/>
              </w:rPr>
              <w:t>Température basse</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5"/>
              </w:rPr>
              <w:t>Viscosité élevée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5"/>
              </w:rPr>
              <w:t>Débit, puissance et non-faisabilité</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5"/>
              </w:rPr>
              <w:t>SC-L-10</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5"/>
              </w:rPr>
              <w:t>Risque de cavitation</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5"/>
              </w:rPr>
              <w:t>Niveau/pression aspiration bas</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5"/>
              </w:rPr>
              <w:t>Marge NPSH et action corrective</w:t>
            </w:r>
          </w:p>
        </w:tc>
      </w:tr>
      <w:tr>
        <w:tc>
          <w:tcPr>
            <w:tcW w:type="dxa" w:w="1191"/>
            <w:vAlign w:val="center"/>
            <w:tcMar>
              <w:top w:w="80" w:type="dxa"/>
              <w:start w:w="90" w:type="dxa"/>
              <w:bottom w:w="80" w:type="dxa"/>
              <w:end w:w="90" w:type="dxa"/>
            </w:tcMar>
            <w:shd w:fill="F2F2F2"/>
          </w:tcPr>
          <w:p>
            <w:pPr>
              <w:spacing w:after="0"/>
            </w:pPr>
            <w:r/>
            <w:r>
              <w:rPr>
                <w:rFonts w:ascii="Carlito" w:hAnsi="Carlito" w:eastAsia="Carlito"/>
                <w:b w:val="0"/>
                <w:color w:val="243447"/>
                <w:sz w:val="15"/>
              </w:rPr>
              <w:t>SC-L-11</w:t>
            </w:r>
          </w:p>
        </w:tc>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5"/>
              </w:rPr>
              <w:t>Zone gravitaire</w:t>
            </w:r>
          </w:p>
        </w:tc>
        <w:tc>
          <w:tcPr>
            <w:tcW w:type="dxa" w:w="2891"/>
            <w:vAlign w:val="center"/>
            <w:tcMar>
              <w:top w:w="80" w:type="dxa"/>
              <w:start w:w="90" w:type="dxa"/>
              <w:bottom w:w="80" w:type="dxa"/>
              <w:end w:w="90" w:type="dxa"/>
            </w:tcMar>
            <w:shd w:fill="F2F2F2"/>
          </w:tcPr>
          <w:p>
            <w:pPr>
              <w:spacing w:after="0"/>
            </w:pPr>
            <w:r/>
            <w:r>
              <w:rPr>
                <w:rFonts w:ascii="Carlito" w:hAnsi="Carlito" w:eastAsia="Carlito"/>
                <w:b w:val="0"/>
                <w:color w:val="243447"/>
                <w:sz w:val="15"/>
              </w:rPr>
              <w:t>Profil descendant critique</w:t>
            </w:r>
          </w:p>
        </w:tc>
        <w:tc>
          <w:tcPr>
            <w:tcW w:type="dxa" w:w="3061"/>
            <w:vAlign w:val="center"/>
            <w:tcMar>
              <w:top w:w="80" w:type="dxa"/>
              <w:start w:w="90" w:type="dxa"/>
              <w:bottom w:w="80" w:type="dxa"/>
              <w:end w:w="90" w:type="dxa"/>
            </w:tcMar>
            <w:shd w:fill="F2F2F2"/>
          </w:tcPr>
          <w:p>
            <w:pPr>
              <w:spacing w:after="0"/>
            </w:pPr>
            <w:r/>
            <w:r>
              <w:rPr>
                <w:rFonts w:ascii="Carlito" w:hAnsi="Carlito" w:eastAsia="Carlito"/>
                <w:b w:val="0"/>
                <w:color w:val="243447"/>
                <w:sz w:val="15"/>
              </w:rPr>
              <w:t>Localisation et degré de remplissage selon modèle</w:t>
            </w:r>
          </w:p>
        </w:tc>
      </w:tr>
      <w:tr>
        <w:tc>
          <w:tcPr>
            <w:tcW w:type="dxa" w:w="1191"/>
            <w:vAlign w:val="center"/>
            <w:tcMar>
              <w:top w:w="80" w:type="dxa"/>
              <w:start w:w="90" w:type="dxa"/>
              <w:bottom w:w="80" w:type="dxa"/>
              <w:end w:w="90" w:type="dxa"/>
            </w:tcMar>
          </w:tcPr>
          <w:p>
            <w:pPr>
              <w:spacing w:after="0"/>
            </w:pPr>
            <w:r/>
            <w:r>
              <w:rPr>
                <w:rFonts w:ascii="Carlito" w:hAnsi="Carlito" w:eastAsia="Carlito"/>
                <w:b w:val="0"/>
                <w:color w:val="243447"/>
                <w:sz w:val="15"/>
              </w:rPr>
              <w:t>SC-L-12</w:t>
            </w:r>
          </w:p>
        </w:tc>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5"/>
              </w:rPr>
              <w:t>Limite de pression</w:t>
            </w:r>
          </w:p>
        </w:tc>
        <w:tc>
          <w:tcPr>
            <w:tcW w:type="dxa" w:w="2891"/>
            <w:vAlign w:val="center"/>
            <w:tcMar>
              <w:top w:w="80" w:type="dxa"/>
              <w:start w:w="90" w:type="dxa"/>
              <w:bottom w:w="80" w:type="dxa"/>
              <w:end w:w="90" w:type="dxa"/>
            </w:tcMar>
          </w:tcPr>
          <w:p>
            <w:pPr>
              <w:spacing w:after="0"/>
            </w:pPr>
            <w:r/>
            <w:r>
              <w:rPr>
                <w:rFonts w:ascii="Carlito" w:hAnsi="Carlito" w:eastAsia="Carlito"/>
                <w:b w:val="0"/>
                <w:color w:val="243447"/>
                <w:sz w:val="15"/>
              </w:rPr>
              <w:t>Débit/hauteur élevé</w:t>
            </w:r>
          </w:p>
        </w:tc>
        <w:tc>
          <w:tcPr>
            <w:tcW w:type="dxa" w:w="3061"/>
            <w:vAlign w:val="center"/>
            <w:tcMar>
              <w:top w:w="80" w:type="dxa"/>
              <w:start w:w="90" w:type="dxa"/>
              <w:bottom w:w="80" w:type="dxa"/>
              <w:end w:w="90" w:type="dxa"/>
            </w:tcMar>
          </w:tcPr>
          <w:p>
            <w:pPr>
              <w:spacing w:after="0"/>
            </w:pPr>
            <w:r/>
            <w:r>
              <w:rPr>
                <w:rFonts w:ascii="Carlito" w:hAnsi="Carlito" w:eastAsia="Carlito"/>
                <w:b w:val="0"/>
                <w:color w:val="243447"/>
                <w:sz w:val="15"/>
              </w:rPr>
              <w:t>Tronçons en dépassement et réduction requise</w:t>
            </w:r>
          </w:p>
        </w:tc>
      </w:tr>
    </w:tbl>
    <w:p>
      <w:pPr>
        <w:spacing w:after="40"/>
      </w:pPr>
    </w:p>
    <w:p>
      <w:pPr>
        <w:pStyle w:val="Heading1"/>
      </w:pPr>
      <w:r>
        <w:t>4. Scénarios de dépôt et stockage</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ID</w:t>
            </w:r>
          </w:p>
        </w:tc>
        <w:tc>
          <w:tcPr>
            <w:tcW w:type="dxa" w:w="3572"/>
            <w:vAlign w:val="center"/>
            <w:tcMar>
              <w:top w:w="80" w:type="dxa"/>
              <w:start w:w="90" w:type="dxa"/>
              <w:bottom w:w="80" w:type="dxa"/>
              <w:end w:w="90" w:type="dxa"/>
            </w:tcMar>
            <w:shd w:fill="17365D"/>
          </w:tcPr>
          <w:p>
            <w:pPr>
              <w:spacing w:after="0"/>
            </w:pPr>
            <w:r/>
            <w:r>
              <w:rPr>
                <w:rFonts w:ascii="Carlito" w:hAnsi="Carlito" w:eastAsia="Carlito"/>
                <w:b/>
                <w:color w:val="FFFFFF"/>
                <w:sz w:val="16"/>
              </w:rPr>
              <w:t>Scénario</w:t>
            </w:r>
          </w:p>
        </w:tc>
        <w:tc>
          <w:tcPr>
            <w:tcW w:type="dxa" w:w="4592"/>
            <w:vAlign w:val="center"/>
            <w:tcMar>
              <w:top w:w="80" w:type="dxa"/>
              <w:start w:w="90" w:type="dxa"/>
              <w:bottom w:w="80" w:type="dxa"/>
              <w:end w:w="90" w:type="dxa"/>
            </w:tcMar>
            <w:shd w:fill="17365D"/>
          </w:tcPr>
          <w:p>
            <w:pPr>
              <w:spacing w:after="0"/>
            </w:pPr>
            <w:r/>
            <w:r>
              <w:rPr>
                <w:rFonts w:ascii="Carlito" w:hAnsi="Carlito" w:eastAsia="Carlito"/>
                <w:b/>
                <w:color w:val="FFFFFF"/>
                <w:sz w:val="16"/>
              </w:rPr>
              <w:t>Contrôles</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SC-T-01</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Transfert normal entre deux bacs</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6"/>
              </w:rPr>
              <w:t>Volume disponible, chemin, pompe, durée, niveau final</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SC-T-02</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Bac destinataire proche du niveau haut</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6"/>
              </w:rPr>
              <w:t>Temps avant haut/haut-haut, arrêt sécurisé</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SC-T-03</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Pompe de transfert indisponible</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6"/>
              </w:rPr>
              <w:t>Pompe alternative, débit réduit, délai</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SC-T-04</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Mauvais alignement de vannes</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6"/>
              </w:rPr>
              <w:t>Chemin non valide et prévention du mauvais bac</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SC-T-05</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Produit incompatible</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6"/>
              </w:rPr>
              <w:t>Blocage ou plan de séparation/flush</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SC-T-06</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Écart de bilan matière</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6"/>
              </w:rPr>
              <w:t>Incertitudes, capteurs, fuite ou erreur de jaugeage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SC-T-07</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Réception et expédition simultanées</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6"/>
              </w:rPr>
              <w:t>Bilan dynamique et conflit de ressources</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SC-T-08</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Viscosité élevée</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6"/>
              </w:rPr>
              <w:t>Besoin de chauffage et performance pompe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SC-T-09</w:t>
            </w:r>
          </w:p>
        </w:tc>
        <w:tc>
          <w:tcPr>
            <w:tcW w:type="dxa" w:w="3572"/>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Débitmètre indisponible</w:t>
            </w:r>
          </w:p>
        </w:tc>
        <w:tc>
          <w:tcPr>
            <w:tcW w:type="dxa" w:w="4592"/>
            <w:vAlign w:val="center"/>
            <w:tcMar>
              <w:top w:w="80" w:type="dxa"/>
              <w:start w:w="90" w:type="dxa"/>
              <w:bottom w:w="80" w:type="dxa"/>
              <w:end w:w="90" w:type="dxa"/>
            </w:tcMar>
            <w:shd w:fill="F2F2F2"/>
          </w:tcPr>
          <w:p>
            <w:pPr>
              <w:spacing w:after="0"/>
            </w:pPr>
            <w:r/>
            <w:r>
              <w:rPr>
                <w:rFonts w:ascii="Carlito" w:hAnsi="Carlito" w:eastAsia="Carlito"/>
                <w:b w:val="0"/>
                <w:color w:val="243447"/>
                <w:sz w:val="16"/>
              </w:rPr>
              <w:t>Estimation par niveaux et incertitude accrue</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SC-T-10</w:t>
            </w:r>
          </w:p>
        </w:tc>
        <w:tc>
          <w:tcPr>
            <w:tcW w:type="dxa" w:w="3572"/>
            <w:vAlign w:val="center"/>
            <w:tcMar>
              <w:top w:w="80" w:type="dxa"/>
              <w:start w:w="90" w:type="dxa"/>
              <w:bottom w:w="80" w:type="dxa"/>
              <w:end w:w="90" w:type="dxa"/>
            </w:tcMar>
          </w:tcPr>
          <w:p>
            <w:pPr>
              <w:spacing w:after="0"/>
            </w:pPr>
            <w:r/>
            <w:r>
              <w:rPr>
                <w:rFonts w:ascii="Carlito" w:hAnsi="Carlito" w:eastAsia="Carlito"/>
                <w:b w:val="0"/>
                <w:color w:val="243447"/>
                <w:sz w:val="16"/>
              </w:rPr>
              <w:t>Évent/soupape indisponible</w:t>
            </w:r>
          </w:p>
        </w:tc>
        <w:tc>
          <w:tcPr>
            <w:tcW w:type="dxa" w:w="4592"/>
            <w:vAlign w:val="center"/>
            <w:tcMar>
              <w:top w:w="80" w:type="dxa"/>
              <w:start w:w="90" w:type="dxa"/>
              <w:bottom w:w="80" w:type="dxa"/>
              <w:end w:w="90" w:type="dxa"/>
            </w:tcMar>
          </w:tcPr>
          <w:p>
            <w:pPr>
              <w:spacing w:after="0"/>
            </w:pPr>
            <w:r/>
            <w:r>
              <w:rPr>
                <w:rFonts w:ascii="Carlito" w:hAnsi="Carlito" w:eastAsia="Carlito"/>
                <w:b w:val="0"/>
                <w:color w:val="243447"/>
                <w:sz w:val="16"/>
              </w:rPr>
              <w:t>Scénario bloqué et alerte HSE</w:t>
            </w:r>
          </w:p>
        </w:tc>
      </w:tr>
    </w:tbl>
    <w:p>
      <w:pPr>
        <w:spacing w:after="40"/>
      </w:pPr>
    </w:p>
    <w:p>
      <w:pPr>
        <w:pStyle w:val="Heading1"/>
      </w:pPr>
      <w:r>
        <w:t>5. Scénarios de données</w:t>
      </w:r>
    </w:p>
    <w:p>
      <w:pPr>
        <w:pStyle w:val="ListBullet"/>
      </w:pPr>
      <w:r>
        <w:t>Fichier avec unités mélangées ou colonnes ambiguës.</w:t>
      </w:r>
    </w:p>
    <w:p>
      <w:pPr>
        <w:pStyle w:val="ListBullet"/>
      </w:pPr>
      <w:r>
        <w:t>Horodatages en fuseaux différents ou ordre non monotone.</w:t>
      </w:r>
    </w:p>
    <w:p>
      <w:pPr>
        <w:pStyle w:val="ListBullet"/>
      </w:pPr>
      <w:r>
        <w:t>Valeurs manquantes, doublons et communication perdue.</w:t>
      </w:r>
    </w:p>
    <w:p>
      <w:pPr>
        <w:pStyle w:val="ListBullet"/>
      </w:pPr>
      <w:r>
        <w:t>Capteur bloqué, dérive lente ou saut de calibration.</w:t>
      </w:r>
    </w:p>
    <w:p>
      <w:pPr>
        <w:pStyle w:val="ListBullet"/>
      </w:pPr>
      <w:r>
        <w:t>Débit d’entrée différent du débit de sortie sans variation de stock cohérente.</w:t>
      </w:r>
    </w:p>
    <w:p>
      <w:pPr>
        <w:pStyle w:val="ListBullet"/>
      </w:pPr>
      <w:r>
        <w:t>Modèle physique qui diverge des mesures après maintenance.</w:t>
      </w:r>
    </w:p>
    <w:p>
      <w:pPr>
        <w:pStyle w:val="ListBullet"/>
      </w:pPr>
      <w:r>
        <w:t>Import partiel puis reprise idempotente.</w:t>
      </w:r>
    </w:p>
    <w:p>
      <w:pPr>
        <w:pStyle w:val="Heading1"/>
      </w:pPr>
      <w:r>
        <w:t>6. Scénarios gaz futurs</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1247"/>
            <w:vAlign w:val="center"/>
            <w:tcMar>
              <w:top w:w="80" w:type="dxa"/>
              <w:start w:w="90" w:type="dxa"/>
              <w:bottom w:w="80" w:type="dxa"/>
              <w:end w:w="90" w:type="dxa"/>
            </w:tcMar>
            <w:shd w:fill="17365D"/>
          </w:tcPr>
          <w:p>
            <w:pPr>
              <w:spacing w:after="0"/>
            </w:pPr>
            <w:r/>
            <w:r>
              <w:rPr>
                <w:rFonts w:ascii="Carlito" w:hAnsi="Carlito" w:eastAsia="Carlito"/>
                <w:b/>
                <w:color w:val="FFFFFF"/>
                <w:sz w:val="16"/>
              </w:rPr>
              <w:t>ID</w:t>
            </w:r>
          </w:p>
        </w:tc>
        <w:tc>
          <w:tcPr>
            <w:tcW w:type="dxa" w:w="3231"/>
            <w:vAlign w:val="center"/>
            <w:tcMar>
              <w:top w:w="80" w:type="dxa"/>
              <w:start w:w="90" w:type="dxa"/>
              <w:bottom w:w="80" w:type="dxa"/>
              <w:end w:w="90" w:type="dxa"/>
            </w:tcMar>
            <w:shd w:fill="17365D"/>
          </w:tcPr>
          <w:p>
            <w:pPr>
              <w:spacing w:after="0"/>
            </w:pPr>
            <w:r/>
            <w:r>
              <w:rPr>
                <w:rFonts w:ascii="Carlito" w:hAnsi="Carlito" w:eastAsia="Carlito"/>
                <w:b/>
                <w:color w:val="FFFFFF"/>
                <w:sz w:val="16"/>
              </w:rPr>
              <w:t>Scénario</w:t>
            </w:r>
          </w:p>
        </w:tc>
        <w:tc>
          <w:tcPr>
            <w:tcW w:type="dxa" w:w="4932"/>
            <w:vAlign w:val="center"/>
            <w:tcMar>
              <w:top w:w="80" w:type="dxa"/>
              <w:start w:w="90" w:type="dxa"/>
              <w:bottom w:w="80" w:type="dxa"/>
              <w:end w:w="90" w:type="dxa"/>
            </w:tcMar>
            <w:shd w:fill="17365D"/>
          </w:tcPr>
          <w:p>
            <w:pPr>
              <w:spacing w:after="0"/>
            </w:pPr>
            <w:r/>
            <w:r>
              <w:rPr>
                <w:rFonts w:ascii="Carlito" w:hAnsi="Carlito" w:eastAsia="Carlito"/>
                <w:b/>
                <w:color w:val="FFFFFF"/>
                <w:sz w:val="16"/>
              </w:rPr>
              <w:t>Capacités futures</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SC-G-01</w:t>
            </w:r>
          </w:p>
        </w:tc>
        <w:tc>
          <w:tcPr>
            <w:tcW w:type="dxa" w:w="3231"/>
            <w:vAlign w:val="center"/>
            <w:tcMar>
              <w:top w:w="80" w:type="dxa"/>
              <w:start w:w="90" w:type="dxa"/>
              <w:bottom w:w="80" w:type="dxa"/>
              <w:end w:w="90" w:type="dxa"/>
            </w:tcMar>
            <w:shd w:fill="F2F2F2"/>
          </w:tcPr>
          <w:p>
            <w:pPr>
              <w:spacing w:after="0"/>
            </w:pPr>
            <w:r/>
            <w:r>
              <w:rPr>
                <w:rFonts w:ascii="Carlito" w:hAnsi="Carlito" w:eastAsia="Carlito"/>
                <w:b w:val="0"/>
                <w:color w:val="243447"/>
                <w:sz w:val="16"/>
              </w:rPr>
              <w:t>Réseau gaz stationnaire</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Pressions, débit, Z et line-pack</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SC-G-02</w:t>
            </w:r>
          </w:p>
        </w:tc>
        <w:tc>
          <w:tcPr>
            <w:tcW w:type="dxa" w:w="3231"/>
            <w:vAlign w:val="center"/>
            <w:tcMar>
              <w:top w:w="80" w:type="dxa"/>
              <w:start w:w="90" w:type="dxa"/>
              <w:bottom w:w="80" w:type="dxa"/>
              <w:end w:w="90" w:type="dxa"/>
            </w:tcMar>
          </w:tcPr>
          <w:p>
            <w:pPr>
              <w:spacing w:after="0"/>
            </w:pPr>
            <w:r/>
            <w:r>
              <w:rPr>
                <w:rFonts w:ascii="Carlito" w:hAnsi="Carlito" w:eastAsia="Carlito"/>
                <w:b w:val="0"/>
                <w:color w:val="243447"/>
                <w:sz w:val="16"/>
              </w:rPr>
              <w:t>Un compresseur arrêté</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Redistribution de charge et capacité</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SC-G-03</w:t>
            </w:r>
          </w:p>
        </w:tc>
        <w:tc>
          <w:tcPr>
            <w:tcW w:type="dxa" w:w="3231"/>
            <w:vAlign w:val="center"/>
            <w:tcMar>
              <w:top w:w="80" w:type="dxa"/>
              <w:start w:w="90" w:type="dxa"/>
              <w:bottom w:w="80" w:type="dxa"/>
              <w:end w:w="90" w:type="dxa"/>
            </w:tcMar>
            <w:shd w:fill="F2F2F2"/>
          </w:tcPr>
          <w:p>
            <w:pPr>
              <w:spacing w:after="0"/>
            </w:pPr>
            <w:r/>
            <w:r>
              <w:rPr>
                <w:rFonts w:ascii="Carlito" w:hAnsi="Carlito" w:eastAsia="Carlito"/>
                <w:b w:val="0"/>
                <w:color w:val="243447"/>
                <w:sz w:val="16"/>
              </w:rPr>
              <w:t>Station de compression bypassée</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Pression de livraison et stock en ligne</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SC-G-04</w:t>
            </w:r>
          </w:p>
        </w:tc>
        <w:tc>
          <w:tcPr>
            <w:tcW w:type="dxa" w:w="3231"/>
            <w:vAlign w:val="center"/>
            <w:tcMar>
              <w:top w:w="80" w:type="dxa"/>
              <w:start w:w="90" w:type="dxa"/>
              <w:bottom w:w="80" w:type="dxa"/>
              <w:end w:w="90" w:type="dxa"/>
            </w:tcMar>
          </w:tcPr>
          <w:p>
            <w:pPr>
              <w:spacing w:after="0"/>
            </w:pPr>
            <w:r/>
            <w:r>
              <w:rPr>
                <w:rFonts w:ascii="Carlito" w:hAnsi="Carlito" w:eastAsia="Carlito"/>
                <w:b w:val="0"/>
                <w:color w:val="243447"/>
                <w:sz w:val="16"/>
              </w:rPr>
              <w:t>Ouverture anti-surge</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Point compresseur et recyclage</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SC-G-05</w:t>
            </w:r>
          </w:p>
        </w:tc>
        <w:tc>
          <w:tcPr>
            <w:tcW w:type="dxa" w:w="3231"/>
            <w:vAlign w:val="center"/>
            <w:tcMar>
              <w:top w:w="80" w:type="dxa"/>
              <w:start w:w="90" w:type="dxa"/>
              <w:bottom w:w="80" w:type="dxa"/>
              <w:end w:w="90" w:type="dxa"/>
            </w:tcMar>
            <w:shd w:fill="F2F2F2"/>
          </w:tcPr>
          <w:p>
            <w:pPr>
              <w:spacing w:after="0"/>
            </w:pPr>
            <w:r/>
            <w:r>
              <w:rPr>
                <w:rFonts w:ascii="Carlito" w:hAnsi="Carlito" w:eastAsia="Carlito"/>
                <w:b w:val="0"/>
                <w:color w:val="243447"/>
                <w:sz w:val="16"/>
              </w:rPr>
              <w:t>Température de refoulement élevée</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Limite et refroidissement</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SC-G-06</w:t>
            </w:r>
          </w:p>
        </w:tc>
        <w:tc>
          <w:tcPr>
            <w:tcW w:type="dxa" w:w="3231"/>
            <w:vAlign w:val="center"/>
            <w:tcMar>
              <w:top w:w="80" w:type="dxa"/>
              <w:start w:w="90" w:type="dxa"/>
              <w:bottom w:w="80" w:type="dxa"/>
              <w:end w:w="90" w:type="dxa"/>
            </w:tcMar>
          </w:tcPr>
          <w:p>
            <w:pPr>
              <w:spacing w:after="0"/>
            </w:pPr>
            <w:r/>
            <w:r>
              <w:rPr>
                <w:rFonts w:ascii="Carlito" w:hAnsi="Carlito" w:eastAsia="Carlito"/>
                <w:b w:val="0"/>
                <w:color w:val="243447"/>
                <w:sz w:val="16"/>
              </w:rPr>
              <w:t>Variation de demande</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Prévision et gestion du line-pack</w:t>
            </w:r>
          </w:p>
        </w:tc>
      </w:tr>
      <w:tr>
        <w:tc>
          <w:tcPr>
            <w:tcW w:type="dxa" w:w="1247"/>
            <w:vAlign w:val="center"/>
            <w:tcMar>
              <w:top w:w="80" w:type="dxa"/>
              <w:start w:w="90" w:type="dxa"/>
              <w:bottom w:w="80" w:type="dxa"/>
              <w:end w:w="90" w:type="dxa"/>
            </w:tcMar>
            <w:shd w:fill="F2F2F2"/>
          </w:tcPr>
          <w:p>
            <w:pPr>
              <w:spacing w:after="0"/>
            </w:pPr>
            <w:r/>
            <w:r>
              <w:rPr>
                <w:rFonts w:ascii="Carlito" w:hAnsi="Carlito" w:eastAsia="Carlito"/>
                <w:b w:val="0"/>
                <w:color w:val="243447"/>
                <w:sz w:val="16"/>
              </w:rPr>
              <w:t>SC-G-07</w:t>
            </w:r>
          </w:p>
        </w:tc>
        <w:tc>
          <w:tcPr>
            <w:tcW w:type="dxa" w:w="3231"/>
            <w:vAlign w:val="center"/>
            <w:tcMar>
              <w:top w:w="80" w:type="dxa"/>
              <w:start w:w="90" w:type="dxa"/>
              <w:bottom w:w="80" w:type="dxa"/>
              <w:end w:w="90" w:type="dxa"/>
            </w:tcMar>
            <w:shd w:fill="F2F2F2"/>
          </w:tcPr>
          <w:p>
            <w:pPr>
              <w:spacing w:after="0"/>
            </w:pPr>
            <w:r/>
            <w:r>
              <w:rPr>
                <w:rFonts w:ascii="Carlito" w:hAnsi="Carlito" w:eastAsia="Carlito"/>
                <w:b w:val="0"/>
                <w:color w:val="243447"/>
                <w:sz w:val="16"/>
              </w:rPr>
              <w:t>Décompression urgente</w:t>
            </w:r>
          </w:p>
        </w:tc>
        <w:tc>
          <w:tcPr>
            <w:tcW w:type="dxa" w:w="4932"/>
            <w:vAlign w:val="center"/>
            <w:tcMar>
              <w:top w:w="80" w:type="dxa"/>
              <w:start w:w="90" w:type="dxa"/>
              <w:bottom w:w="80" w:type="dxa"/>
              <w:end w:w="90" w:type="dxa"/>
            </w:tcMar>
            <w:shd w:fill="F2F2F2"/>
          </w:tcPr>
          <w:p>
            <w:pPr>
              <w:spacing w:after="0"/>
            </w:pPr>
            <w:r/>
            <w:r>
              <w:rPr>
                <w:rFonts w:ascii="Carlito" w:hAnsi="Carlito" w:eastAsia="Carlito"/>
                <w:b w:val="0"/>
                <w:color w:val="243447"/>
                <w:sz w:val="16"/>
              </w:rPr>
              <w:t>Transitoire et inventaire relâché</w:t>
            </w:r>
          </w:p>
        </w:tc>
      </w:tr>
      <w:tr>
        <w:tc>
          <w:tcPr>
            <w:tcW w:type="dxa" w:w="1247"/>
            <w:vAlign w:val="center"/>
            <w:tcMar>
              <w:top w:w="80" w:type="dxa"/>
              <w:start w:w="90" w:type="dxa"/>
              <w:bottom w:w="80" w:type="dxa"/>
              <w:end w:w="90" w:type="dxa"/>
            </w:tcMar>
          </w:tcPr>
          <w:p>
            <w:pPr>
              <w:spacing w:after="0"/>
            </w:pPr>
            <w:r/>
            <w:r>
              <w:rPr>
                <w:rFonts w:ascii="Carlito" w:hAnsi="Carlito" w:eastAsia="Carlito"/>
                <w:b w:val="0"/>
                <w:color w:val="243447"/>
                <w:sz w:val="16"/>
              </w:rPr>
              <w:t>SC-G-08</w:t>
            </w:r>
          </w:p>
        </w:tc>
        <w:tc>
          <w:tcPr>
            <w:tcW w:type="dxa" w:w="3231"/>
            <w:vAlign w:val="center"/>
            <w:tcMar>
              <w:top w:w="80" w:type="dxa"/>
              <w:start w:w="90" w:type="dxa"/>
              <w:bottom w:w="80" w:type="dxa"/>
              <w:end w:w="90" w:type="dxa"/>
            </w:tcMar>
          </w:tcPr>
          <w:p>
            <w:pPr>
              <w:spacing w:after="0"/>
            </w:pPr>
            <w:r/>
            <w:r>
              <w:rPr>
                <w:rFonts w:ascii="Carlito" w:hAnsi="Carlito" w:eastAsia="Carlito"/>
                <w:b w:val="0"/>
                <w:color w:val="243447"/>
                <w:sz w:val="16"/>
              </w:rPr>
              <w:t>Présence de liquide/hydrates</w:t>
            </w:r>
          </w:p>
        </w:tc>
        <w:tc>
          <w:tcPr>
            <w:tcW w:type="dxa" w:w="4932"/>
            <w:vAlign w:val="center"/>
            <w:tcMar>
              <w:top w:w="80" w:type="dxa"/>
              <w:start w:w="90" w:type="dxa"/>
              <w:bottom w:w="80" w:type="dxa"/>
              <w:end w:w="90" w:type="dxa"/>
            </w:tcMar>
          </w:tcPr>
          <w:p>
            <w:pPr>
              <w:spacing w:after="0"/>
            </w:pPr>
            <w:r/>
            <w:r>
              <w:rPr>
                <w:rFonts w:ascii="Carlito" w:hAnsi="Carlito" w:eastAsia="Carlito"/>
                <w:b w:val="0"/>
                <w:color w:val="243447"/>
                <w:sz w:val="16"/>
              </w:rPr>
              <w:t>Avertissement et modèle spécifique requis</w:t>
            </w:r>
          </w:p>
        </w:tc>
      </w:tr>
    </w:tbl>
    <w:p>
      <w:pPr>
        <w:spacing w:after="40"/>
      </w:pPr>
    </w:p>
    <w:p>
      <w:pPr>
        <w:pStyle w:val="Heading1"/>
      </w:pPr>
      <w:r>
        <w:t>7. Fiche détaillée UC-005 - Calcul du régime de référence</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6803"/>
            <w:vAlign w:val="center"/>
            <w:tcMar>
              <w:top w:w="80" w:type="dxa"/>
              <w:start w:w="90" w:type="dxa"/>
              <w:bottom w:w="80" w:type="dxa"/>
              <w:end w:w="90" w:type="dxa"/>
            </w:tcMar>
            <w:shd w:fill="17365D"/>
          </w:tcPr>
          <w:p>
            <w:pPr>
              <w:spacing w:after="0"/>
            </w:pPr>
            <w:r/>
            <w:r>
              <w:rPr>
                <w:rFonts w:ascii="Carlito" w:hAnsi="Carlito" w:eastAsia="Carlito"/>
                <w:b/>
                <w:color w:val="FFFFFF"/>
                <w:sz w:val="17"/>
              </w:rPr>
              <w:t>Définition</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Acteur principal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Ingénieur pipeline.</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Préconditions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Topologie valide, produit défini, conditions aux limites et stations configurées.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Déclencheur</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L’utilisateur sélectionne « Calculer » sur un scénario brouillon.</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Flux nominal</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Validation des données; construction du système; résolution; contrôles physiques; stockage des résultats; affichage des graphiques.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Alternatives</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Données manquantes; courbe pompe hors domaine; non-convergence; violation bloquante.</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Postconditions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Résultat immuable lié au scénario, avec journal scientifique et avertissements.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Critère</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Le cas de référence est reproduit dans la tolérance D10 et le rapport est générable.</w:t>
            </w:r>
          </w:p>
        </w:tc>
      </w:tr>
    </w:tbl>
    <w:p>
      <w:pPr>
        <w:spacing w:after="40"/>
      </w:pPr>
    </w:p>
    <w:p>
      <w:pPr>
        <w:pStyle w:val="Heading1"/>
      </w:pPr>
      <w:r>
        <w:t>8. Fiche détaillée UC-007 - Pompe de secours</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6803"/>
            <w:vAlign w:val="center"/>
            <w:tcMar>
              <w:top w:w="80" w:type="dxa"/>
              <w:start w:w="90" w:type="dxa"/>
              <w:bottom w:w="80" w:type="dxa"/>
              <w:end w:w="90" w:type="dxa"/>
            </w:tcMar>
            <w:shd w:fill="17365D"/>
          </w:tcPr>
          <w:p>
            <w:pPr>
              <w:spacing w:after="0"/>
            </w:pPr>
            <w:r/>
            <w:r>
              <w:rPr>
                <w:rFonts w:ascii="Carlito" w:hAnsi="Carlito" w:eastAsia="Carlito"/>
                <w:b/>
                <w:color w:val="FFFFFF"/>
                <w:sz w:val="17"/>
              </w:rPr>
              <w:t>Définition</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Acteur principal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Exploitant ou ingénieur exploitation.</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Préconditions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Baseline calculée et pompe de secours définie.</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Flux nominal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Cloner le scénario; déclarer la pompe principale indisponible; sélectionner ou rechercher le secours; recalculer; comparer.</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Contrôles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NPSH, puissance moteur, débit minimal, pression maximale et nombre de démarrages.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Sortie</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Mode de secours faisable/non faisable, perte de capacité, coût et limites.</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Critère</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Le système explique le choix et les contraintes non satisfaites.</w:t>
            </w:r>
          </w:p>
        </w:tc>
      </w:tr>
    </w:tbl>
    <w:p>
      <w:pPr>
        <w:spacing w:after="40"/>
      </w:pPr>
    </w:p>
    <w:p>
      <w:pPr>
        <w:pStyle w:val="Heading1"/>
      </w:pPr>
      <w:r>
        <w:t>9. Fiche détaillée UC-010 - Transfert bac-à-bac</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vAlign w:val="center"/>
            <w:tcMar>
              <w:top w:w="80" w:type="dxa"/>
              <w:start w:w="90" w:type="dxa"/>
              <w:bottom w:w="80" w:type="dxa"/>
              <w:end w:w="90" w:type="dxa"/>
            </w:tcMar>
            <w:shd w:fill="17365D"/>
          </w:tcPr>
          <w:p>
            <w:pPr>
              <w:spacing w:after="0"/>
            </w:pPr>
            <w:r/>
            <w:r>
              <w:rPr>
                <w:rFonts w:ascii="Carlito" w:hAnsi="Carlito" w:eastAsia="Carlito"/>
                <w:b/>
                <w:color w:val="FFFFFF"/>
                <w:sz w:val="17"/>
              </w:rPr>
              <w:t>Élément</w:t>
            </w:r>
          </w:p>
        </w:tc>
        <w:tc>
          <w:tcPr>
            <w:tcW w:type="dxa" w:w="6803"/>
            <w:vAlign w:val="center"/>
            <w:tcMar>
              <w:top w:w="80" w:type="dxa"/>
              <w:start w:w="90" w:type="dxa"/>
              <w:bottom w:w="80" w:type="dxa"/>
              <w:end w:w="90" w:type="dxa"/>
            </w:tcMar>
            <w:shd w:fill="17365D"/>
          </w:tcPr>
          <w:p>
            <w:pPr>
              <w:spacing w:after="0"/>
            </w:pPr>
            <w:r/>
            <w:r>
              <w:rPr>
                <w:rFonts w:ascii="Carlito" w:hAnsi="Carlito" w:eastAsia="Carlito"/>
                <w:b/>
                <w:color w:val="FFFFFF"/>
                <w:sz w:val="17"/>
              </w:rPr>
              <w:t>Définition</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Acteur principal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Ingénieur dépôt.</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Préconditions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Bacs, barémages, produit, réseau et pompes disponibles.</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Flux nominal</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Choisir source/destination/volume; trouver les chemins; calculer hydraulique; simuler niveaux; valider limites; générer ordre de mouvement.</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Alternatives</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Capacité insuffisante, cavitation, chemin bloqué, produit incompatible, temps excessif.</w:t>
            </w:r>
          </w:p>
        </w:tc>
      </w:tr>
      <w:tr>
        <w:tc>
          <w:tcPr>
            <w:tcW w:type="dxa" w:w="2494"/>
            <w:vAlign w:val="center"/>
            <w:tcMar>
              <w:top w:w="80" w:type="dxa"/>
              <w:start w:w="90" w:type="dxa"/>
              <w:bottom w:w="80" w:type="dxa"/>
              <w:end w:w="90" w:type="dxa"/>
            </w:tcMar>
            <w:shd w:fill="F2F2F2"/>
          </w:tcPr>
          <w:p>
            <w:pPr>
              <w:spacing w:after="0"/>
            </w:pPr>
            <w:r/>
            <w:r>
              <w:rPr>
                <w:rFonts w:ascii="Carlito" w:hAnsi="Carlito" w:eastAsia="Carlito"/>
                <w:b w:val="0"/>
                <w:color w:val="243447"/>
                <w:sz w:val="17"/>
              </w:rPr>
              <w:t>Sortie</w:t>
            </w:r>
          </w:p>
        </w:tc>
        <w:tc>
          <w:tcPr>
            <w:tcW w:type="dxa" w:w="6803"/>
            <w:vAlign w:val="center"/>
            <w:tcMar>
              <w:top w:w="80" w:type="dxa"/>
              <w:start w:w="90" w:type="dxa"/>
              <w:bottom w:w="80" w:type="dxa"/>
              <w:end w:w="90" w:type="dxa"/>
            </w:tcMar>
            <w:shd w:fill="F2F2F2"/>
          </w:tcPr>
          <w:p>
            <w:pPr>
              <w:spacing w:after="0"/>
            </w:pPr>
            <w:r/>
            <w:r>
              <w:rPr>
                <w:rFonts w:ascii="Carlito" w:hAnsi="Carlito" w:eastAsia="Carlito"/>
                <w:b w:val="0"/>
                <w:color w:val="243447"/>
                <w:sz w:val="17"/>
              </w:rPr>
              <w:t>Débit, durée, énergie, niveaux, positions de vannes et avertissements.</w:t>
            </w:r>
          </w:p>
        </w:tc>
      </w:tr>
      <w:tr>
        <w:tc>
          <w:tcPr>
            <w:tcW w:type="dxa" w:w="2494"/>
            <w:vAlign w:val="center"/>
            <w:tcMar>
              <w:top w:w="80" w:type="dxa"/>
              <w:start w:w="90" w:type="dxa"/>
              <w:bottom w:w="80" w:type="dxa"/>
              <w:end w:w="90" w:type="dxa"/>
            </w:tcMar>
          </w:tcPr>
          <w:p>
            <w:pPr>
              <w:spacing w:after="0"/>
            </w:pPr>
            <w:r/>
            <w:r>
              <w:rPr>
                <w:rFonts w:ascii="Carlito" w:hAnsi="Carlito" w:eastAsia="Carlito"/>
                <w:b w:val="0"/>
                <w:color w:val="243447"/>
                <w:sz w:val="17"/>
              </w:rPr>
              <w:t>Critère</w:t>
            </w:r>
          </w:p>
        </w:tc>
        <w:tc>
          <w:tcPr>
            <w:tcW w:type="dxa" w:w="6803"/>
            <w:vAlign w:val="center"/>
            <w:tcMar>
              <w:top w:w="80" w:type="dxa"/>
              <w:start w:w="90" w:type="dxa"/>
              <w:bottom w:w="80" w:type="dxa"/>
              <w:end w:w="90" w:type="dxa"/>
            </w:tcMar>
          </w:tcPr>
          <w:p>
            <w:pPr>
              <w:spacing w:after="0"/>
            </w:pPr>
            <w:r/>
            <w:r>
              <w:rPr>
                <w:rFonts w:ascii="Carlito" w:hAnsi="Carlito" w:eastAsia="Carlito"/>
                <w:b w:val="0"/>
                <w:color w:val="243447"/>
                <w:sz w:val="17"/>
              </w:rPr>
              <w:t>Conservation de masse et absence de dépassement de niveaux dans la tolérance.</w:t>
            </w:r>
          </w:p>
        </w:tc>
      </w:tr>
    </w:tbl>
    <w:p>
      <w:pPr>
        <w:spacing w:after="40"/>
      </w:pPr>
    </w:p>
    <w:p>
      <w:pPr>
        <w:pStyle w:val="Heading1"/>
      </w:pPr>
      <w:r>
        <w:t>10. Matrice de couverture MVP</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vAlign w:val="center"/>
            <w:tcMar>
              <w:top w:w="80" w:type="dxa"/>
              <w:start w:w="90" w:type="dxa"/>
              <w:bottom w:w="80" w:type="dxa"/>
              <w:end w:w="90" w:type="dxa"/>
            </w:tcMar>
            <w:shd w:fill="17365D"/>
          </w:tcPr>
          <w:p>
            <w:pPr>
              <w:spacing w:after="0"/>
            </w:pPr>
            <w:r/>
            <w:r>
              <w:rPr>
                <w:rFonts w:ascii="Carlito" w:hAnsi="Carlito" w:eastAsia="Carlito"/>
                <w:b/>
                <w:color w:val="FFFFFF"/>
                <w:sz w:val="16"/>
              </w:rPr>
              <w:t>Capacité</w:t>
            </w:r>
          </w:p>
        </w:tc>
        <w:tc>
          <w:tcPr>
            <w:tcW w:type="dxa" w:w="3628"/>
            <w:vAlign w:val="center"/>
            <w:tcMar>
              <w:top w:w="80" w:type="dxa"/>
              <w:start w:w="90" w:type="dxa"/>
              <w:bottom w:w="80" w:type="dxa"/>
              <w:end w:w="90" w:type="dxa"/>
            </w:tcMar>
            <w:shd w:fill="17365D"/>
          </w:tcPr>
          <w:p>
            <w:pPr>
              <w:spacing w:after="0"/>
            </w:pPr>
            <w:r/>
            <w:r>
              <w:rPr>
                <w:rFonts w:ascii="Carlito" w:hAnsi="Carlito" w:eastAsia="Carlito"/>
                <w:b/>
                <w:color w:val="FFFFFF"/>
                <w:sz w:val="16"/>
              </w:rPr>
              <w:t>Cas couverts</w:t>
            </w:r>
          </w:p>
        </w:tc>
        <w:tc>
          <w:tcPr>
            <w:tcW w:type="dxa" w:w="3515"/>
            <w:vAlign w:val="center"/>
            <w:tcMar>
              <w:top w:w="80" w:type="dxa"/>
              <w:start w:w="90" w:type="dxa"/>
              <w:bottom w:w="80" w:type="dxa"/>
              <w:end w:w="90" w:type="dxa"/>
            </w:tcMar>
            <w:shd w:fill="17365D"/>
          </w:tcPr>
          <w:p>
            <w:pPr>
              <w:spacing w:after="0"/>
            </w:pPr>
            <w:r/>
            <w:r>
              <w:rPr>
                <w:rFonts w:ascii="Carlito" w:hAnsi="Carlito" w:eastAsia="Carlito"/>
                <w:b/>
                <w:color w:val="FFFFFF"/>
                <w:sz w:val="16"/>
              </w:rPr>
              <w:t>Tests associés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Projet/version</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UC-001</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D18 : intégration et RBAC</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Réseau/profil</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UC-002</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D10 : cas analytiques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Produit</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UC-003</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D10 : propriétés et unités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Pompes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UC-004, UC-006, UC-007</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D10 : courbes et configurations</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Hydraulique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UC-005</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D10 : pipeline multi-stations</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Scénarios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UC-007, UC-008</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D18 : recette fonctionnelle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Stockage</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UC-009, UC-010, UC-011</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D10 : transfert et bilan</w:t>
            </w:r>
          </w:p>
        </w:tc>
      </w:tr>
      <w:tr>
        <w:tc>
          <w:tcPr>
            <w:tcW w:type="dxa" w:w="2268"/>
            <w:vAlign w:val="center"/>
            <w:tcMar>
              <w:top w:w="80" w:type="dxa"/>
              <w:start w:w="90" w:type="dxa"/>
              <w:bottom w:w="80" w:type="dxa"/>
              <w:end w:w="90" w:type="dxa"/>
            </w:tcMar>
          </w:tcPr>
          <w:p>
            <w:pPr>
              <w:spacing w:after="0"/>
            </w:pPr>
            <w:r/>
            <w:r>
              <w:rPr>
                <w:rFonts w:ascii="Carlito" w:hAnsi="Carlito" w:eastAsia="Carlito"/>
                <w:b w:val="0"/>
                <w:color w:val="243447"/>
                <w:sz w:val="16"/>
              </w:rPr>
              <w:t>Rapports</w:t>
            </w:r>
          </w:p>
        </w:tc>
        <w:tc>
          <w:tcPr>
            <w:tcW w:type="dxa" w:w="3628"/>
            <w:vAlign w:val="center"/>
            <w:tcMar>
              <w:top w:w="80" w:type="dxa"/>
              <w:start w:w="90" w:type="dxa"/>
              <w:bottom w:w="80" w:type="dxa"/>
              <w:end w:w="90" w:type="dxa"/>
            </w:tcMar>
          </w:tcPr>
          <w:p>
            <w:pPr>
              <w:spacing w:after="0"/>
            </w:pPr>
            <w:r/>
            <w:r>
              <w:rPr>
                <w:rFonts w:ascii="Carlito" w:hAnsi="Carlito" w:eastAsia="Carlito"/>
                <w:b w:val="0"/>
                <w:color w:val="243447"/>
                <w:sz w:val="16"/>
              </w:rPr>
              <w:t>UC-012</w:t>
            </w:r>
          </w:p>
        </w:tc>
        <w:tc>
          <w:tcPr>
            <w:tcW w:type="dxa" w:w="3515"/>
            <w:vAlign w:val="center"/>
            <w:tcMar>
              <w:top w:w="80" w:type="dxa"/>
              <w:start w:w="90" w:type="dxa"/>
              <w:bottom w:w="80" w:type="dxa"/>
              <w:end w:w="90" w:type="dxa"/>
            </w:tcMar>
          </w:tcPr>
          <w:p>
            <w:pPr>
              <w:spacing w:after="0"/>
            </w:pPr>
            <w:r/>
            <w:r>
              <w:rPr>
                <w:rFonts w:ascii="Carlito" w:hAnsi="Carlito" w:eastAsia="Carlito"/>
                <w:b w:val="0"/>
                <w:color w:val="243447"/>
                <w:sz w:val="16"/>
              </w:rPr>
              <w:t>D19 : modèles de sortie</w:t>
            </w:r>
          </w:p>
        </w:tc>
      </w:tr>
      <w:tr>
        <w:tc>
          <w:tcPr>
            <w:tcW w:type="dxa" w:w="2268"/>
            <w:vAlign w:val="center"/>
            <w:tcMar>
              <w:top w:w="80" w:type="dxa"/>
              <w:start w:w="90" w:type="dxa"/>
              <w:bottom w:w="80" w:type="dxa"/>
              <w:end w:w="90" w:type="dxa"/>
            </w:tcMar>
            <w:shd w:fill="F2F2F2"/>
          </w:tcPr>
          <w:p>
            <w:pPr>
              <w:spacing w:after="0"/>
            </w:pPr>
            <w:r/>
            <w:r>
              <w:rPr>
                <w:rFonts w:ascii="Carlito" w:hAnsi="Carlito" w:eastAsia="Carlito"/>
                <w:b w:val="0"/>
                <w:color w:val="243447"/>
                <w:sz w:val="16"/>
              </w:rPr>
              <w:t>Données</w:t>
            </w:r>
          </w:p>
        </w:tc>
        <w:tc>
          <w:tcPr>
            <w:tcW w:type="dxa" w:w="3628"/>
            <w:vAlign w:val="center"/>
            <w:tcMar>
              <w:top w:w="80" w:type="dxa"/>
              <w:start w:w="90" w:type="dxa"/>
              <w:bottom w:w="80" w:type="dxa"/>
              <w:end w:w="90" w:type="dxa"/>
            </w:tcMar>
            <w:shd w:fill="F2F2F2"/>
          </w:tcPr>
          <w:p>
            <w:pPr>
              <w:spacing w:after="0"/>
            </w:pPr>
            <w:r/>
            <w:r>
              <w:rPr>
                <w:rFonts w:ascii="Carlito" w:hAnsi="Carlito" w:eastAsia="Carlito"/>
                <w:b w:val="0"/>
                <w:color w:val="243447"/>
                <w:sz w:val="16"/>
              </w:rPr>
              <w:t>UC-013</w:t>
            </w:r>
          </w:p>
        </w:tc>
        <w:tc>
          <w:tcPr>
            <w:tcW w:type="dxa" w:w="3515"/>
            <w:vAlign w:val="center"/>
            <w:tcMar>
              <w:top w:w="80" w:type="dxa"/>
              <w:start w:w="90" w:type="dxa"/>
              <w:bottom w:w="80" w:type="dxa"/>
              <w:end w:w="90" w:type="dxa"/>
            </w:tcMar>
            <w:shd w:fill="F2F2F2"/>
          </w:tcPr>
          <w:p>
            <w:pPr>
              <w:spacing w:after="0"/>
            </w:pPr>
            <w:r/>
            <w:r>
              <w:rPr>
                <w:rFonts w:ascii="Carlito" w:hAnsi="Carlito" w:eastAsia="Carlito"/>
                <w:b w:val="0"/>
                <w:color w:val="243447"/>
                <w:sz w:val="16"/>
              </w:rPr>
              <w:t>D18 : import et qualité</w:t>
            </w:r>
          </w:p>
        </w:tc>
      </w:tr>
    </w:tbl>
    <w:p>
      <w:pPr>
        <w:spacing w:after="40"/>
      </w:pPr>
    </w:p>
    <w:p>
      <w:pPr>
        <w:pStyle w:val="Heading1"/>
      </w:pPr>
      <w:r>
        <w:t>Sources et références</w:t>
      </w:r>
    </w:p>
    <w:p>
      <w:pPr>
        <w:pStyle w:val="ListBullet"/>
      </w:pPr>
      <w:r>
        <w:t>D03 - Processus métier.</w:t>
      </w:r>
    </w:p>
    <w:p>
      <w:pPr>
        <w:pStyle w:val="ListBullet"/>
      </w:pPr>
      <w:r>
        <w:t>D04 - Exigences fonctionnelles.</w:t>
      </w:r>
    </w:p>
    <w:p>
      <w:pPr>
        <w:pStyle w:val="ListBullet"/>
      </w:pPr>
      <w:r>
        <w:t>D10 - Cas de validation.</w:t>
      </w:r>
    </w:p>
    <w:p>
      <w:pPr>
        <w:pStyle w:val="ListBullet"/>
      </w:pPr>
      <w:r>
        <w:t>D20 - Protocole du site pilote.</w:t>
      </w:r>
    </w:p>
    <w:p>
      <w:pPr>
        <w:spacing w:before="360"/>
        <w:jc w:val="center"/>
      </w:pPr>
      <w:r>
        <w:rPr>
          <w:i/>
          <w:color w:val="7B8794"/>
          <w:sz w:val="16"/>
        </w:rPr>
        <w:t>Fin du document</w:t>
      </w:r>
    </w:p>
    <w:sectPr w:rsidR="00FC693F" w:rsidRPr="0006063C" w:rsidSect="00034616">
      <w:headerReference w:type="default" r:id="rId9"/>
      <w:footerReference w:type="default" r:id="rId10"/>
      <w:pgSz w:w="11906" w:h="16838"/>
      <w:pgMar w:top="1020" w:right="907"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Pr>
        <w:rFonts w:ascii="Carlito" w:hAnsi="Carlito"/>
        <w:color w:val="6B7785"/>
        <w:sz w:val="14"/>
      </w:rPr>
      <w:t>Version 1.0 • 2 août 2026 • Document de conception - non certifiant</w:t>
    </w:r>
  </w:p>
  <w:p>
    <w:pPr>
      <w:jc w:val="right"/>
    </w:pPr>
    <w:r>
      <w:rPr>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rlito" w:hAnsi="Carlito"/>
        <w:color w:val="0F6B78"/>
        <w:sz w:val="15"/>
      </w:rPr>
      <w:t>D06  |  Plateforme Hydrocarbures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eastAsia="Carlito"/>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eastAsia="Liberation San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iberation Sans" w:hAnsi="Liberation Sans" w:eastAsia="Liberation Sans"/>
      <w:b/>
      <w:bCs/>
      <w:color w:val="0F6B78"/>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eastAsia="Liberation Sans"/>
      <w:b/>
      <w:bCs/>
      <w:color w:val="2434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Carlito" w:hAnsi="Carlito" w:eastAsia="Carlito"/>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Carlito" w:hAnsi="Carlito" w:eastAsia="Carlito"/>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Catalogue des cas d’usage et scénarios</dc:title>
  <dc:subject>Plateforme de transport et de stockage des hydrocarbures</dc:subject>
  <dc:creator>Équipe projet (2 développeurs assistés par IA)</dc:creator>
  <cp:keywords>pipeline, hydrocarbures, stockage, pompes, gaz, simulation, Python, PostgreSQL</cp:keywords>
  <dc:description>Document généré dans le cadre du dossier de conception.</dc:description>
  <cp:lastModifiedBy/>
  <cp:revision>1</cp:revision>
  <dcterms:created xsi:type="dcterms:W3CDTF">2013-12-23T23:15:00Z</dcterms:created>
  <dcterms:modified xsi:type="dcterms:W3CDTF">2013-12-23T23:15:00Z</dcterms:modified>
  <cp:category/>
</cp:coreProperties>
</file>