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D10</w:t>
      </w:r>
    </w:p>
    <w:p>
      <w:pPr>
        <w:spacing w:before="160"/>
        <w:jc w:val="center"/>
      </w:pPr>
      <w:r>
        <w:rPr>
          <w:rFonts w:ascii="Liberation Sans" w:hAnsi="Liberation Sans"/>
          <w:b/>
          <w:color w:val="17365D"/>
          <w:sz w:val="52"/>
        </w:rPr>
        <w:t>Plan de validation scientifique</w:t>
      </w:r>
    </w:p>
    <w:p>
      <w:pPr>
        <w:spacing w:before="200"/>
        <w:jc w:val="center"/>
      </w:pPr>
      <w:r>
        <w:rPr>
          <w:rFonts w:ascii="Carlito" w:hAnsi="Carlito"/>
          <w:i/>
          <w:color w:val="243447"/>
          <w:sz w:val="25"/>
        </w:rPr>
        <w:t>Cas de référence, tolérances, benchmarks et protocole de preuve</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D10</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Objectifs</w:t>
      </w:r>
    </w:p>
    <w:p>
      <w:pPr>
        <w:pStyle w:val="ListNumber"/>
      </w:pPr>
      <w:r>
        <w:t>Niveaux de validation</w:t>
      </w:r>
    </w:p>
    <w:p>
      <w:pPr>
        <w:pStyle w:val="ListNumber"/>
      </w:pPr>
      <w:r>
        <w:t>Tolérances</w:t>
      </w:r>
    </w:p>
    <w:p>
      <w:pPr>
        <w:pStyle w:val="ListNumber"/>
      </w:pPr>
      <w:r>
        <w:t>Cas analytiques</w:t>
      </w:r>
    </w:p>
    <w:p>
      <w:pPr>
        <w:pStyle w:val="ListNumber"/>
      </w:pPr>
      <w:r>
        <w:t>Pipeline multi-stations</w:t>
      </w:r>
    </w:p>
    <w:p>
      <w:pPr>
        <w:pStyle w:val="ListNumber"/>
      </w:pPr>
      <w:r>
        <w:t>Pompes</w:t>
      </w:r>
    </w:p>
    <w:p>
      <w:pPr>
        <w:pStyle w:val="ListNumber"/>
      </w:pPr>
      <w:r>
        <w:t>Zones gravitaires</w:t>
      </w:r>
    </w:p>
    <w:p>
      <w:pPr>
        <w:pStyle w:val="ListNumber"/>
      </w:pPr>
      <w:r>
        <w:t>Réservoirs</w:t>
      </w:r>
    </w:p>
    <w:p>
      <w:pPr>
        <w:pStyle w:val="ListNumber"/>
      </w:pPr>
      <w:r>
        <w:t>Optimisation</w:t>
      </w:r>
    </w:p>
    <w:p>
      <w:pPr>
        <w:pStyle w:val="ListNumber"/>
      </w:pPr>
      <w:r>
        <w:t>Gaz et transitoires futurs</w:t>
      </w:r>
    </w:p>
    <w:p>
      <w:pPr>
        <w:pStyle w:val="ListNumber"/>
      </w:pPr>
      <w:r>
        <w:t>Comparaison logiciels</w:t>
      </w:r>
    </w:p>
    <w:p>
      <w:pPr>
        <w:pStyle w:val="ListNumber"/>
      </w:pPr>
      <w:r>
        <w:t>Gestion des écarts</w:t>
      </w:r>
    </w:p>
    <w:p>
      <w:pPr>
        <w:pStyle w:val="ListNumber"/>
      </w:pPr>
      <w:r>
        <w:t>Dossier de preuve</w:t>
      </w:r>
    </w:p>
    <w:p>
      <w:r>
        <w:rPr>
          <w:i/>
          <w:color w:val="6B7785"/>
          <w:sz w:val="17"/>
        </w:rPr>
        <w:t>La pagination peut évoluer après validation et mise en forme finale dans Microsoft Word ou LibreOffice.</w:t>
      </w:r>
    </w:p>
    <w:p>
      <w:r>
        <w:br w:type="page"/>
      </w:r>
    </w:p>
    <w:p>
      <w:pPr>
        <w:pStyle w:val="Heading1"/>
      </w:pPr>
      <w:r>
        <w:t>1. Objectifs</w:t>
      </w:r>
    </w:p>
    <w:p>
      <w:pPr>
        <w:pStyle w:val="ListBullet"/>
      </w:pPr>
      <w:r>
        <w:t>Prouver que chaque équation et algorithme produit un résultat correct dans son domaine.</w:t>
      </w:r>
    </w:p>
    <w:p>
      <w:pPr>
        <w:pStyle w:val="ListBullet"/>
      </w:pPr>
      <w:r>
        <w:t>Détecter les régressions lors des évolutions de code et de dépendances.</w:t>
      </w:r>
    </w:p>
    <w:p>
      <w:pPr>
        <w:pStyle w:val="ListBullet"/>
      </w:pPr>
      <w:r>
        <w:t>Comparer le moteur à des solutions analytiques, manuelles, académiques et industrielles.</w:t>
      </w:r>
    </w:p>
    <w:p>
      <w:pPr>
        <w:pStyle w:val="ListBullet"/>
      </w:pPr>
      <w:r>
        <w:t>Définir clairement la tolérance et la source de vérité de chaque cas.</w:t>
      </w:r>
    </w:p>
    <w:p>
      <w:pPr>
        <w:pStyle w:val="ListBullet"/>
      </w:pPr>
      <w:r>
        <w:t>Constituer un dossier auditable avant toute utilisation sur un site réel.</w:t>
      </w:r>
    </w:p>
    <w:p>
      <w:pPr>
        <w:pStyle w:val="Heading1"/>
      </w:pPr>
      <w:r>
        <w:t>2. Niveaux de validation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vAlign w:val="center"/>
            <w:tcMar>
              <w:top w:w="80" w:type="dxa"/>
              <w:start w:w="90" w:type="dxa"/>
              <w:bottom w:w="80" w:type="dxa"/>
              <w:end w:w="90" w:type="dxa"/>
            </w:tcMar>
            <w:shd w:fill="17365D"/>
          </w:tcPr>
          <w:p>
            <w:pPr>
              <w:spacing w:after="0"/>
            </w:pPr>
            <w:r/>
            <w:r>
              <w:rPr>
                <w:rFonts w:ascii="Carlito" w:hAnsi="Carlito" w:eastAsia="Carlito"/>
                <w:b/>
                <w:color w:val="FFFFFF"/>
                <w:sz w:val="16"/>
              </w:rPr>
              <w:t>Niveau</w:t>
            </w:r>
          </w:p>
        </w:tc>
        <w:tc>
          <w:tcPr>
            <w:tcW w:type="dxa" w:w="3458"/>
            <w:vAlign w:val="center"/>
            <w:tcMar>
              <w:top w:w="80" w:type="dxa"/>
              <w:start w:w="90" w:type="dxa"/>
              <w:bottom w:w="80" w:type="dxa"/>
              <w:end w:w="90" w:type="dxa"/>
            </w:tcMar>
            <w:shd w:fill="17365D"/>
          </w:tcPr>
          <w:p>
            <w:pPr>
              <w:spacing w:after="0"/>
            </w:pPr>
            <w:r/>
            <w:r>
              <w:rPr>
                <w:rFonts w:ascii="Carlito" w:hAnsi="Carlito" w:eastAsia="Carlito"/>
                <w:b/>
                <w:color w:val="FFFFFF"/>
                <w:sz w:val="16"/>
              </w:rPr>
              <w:t>Objet</w:t>
            </w:r>
          </w:p>
        </w:tc>
        <w:tc>
          <w:tcPr>
            <w:tcW w:type="dxa" w:w="4139"/>
            <w:vAlign w:val="center"/>
            <w:tcMar>
              <w:top w:w="80" w:type="dxa"/>
              <w:start w:w="90" w:type="dxa"/>
              <w:bottom w:w="80" w:type="dxa"/>
              <w:end w:w="90" w:type="dxa"/>
            </w:tcMar>
            <w:shd w:fill="17365D"/>
          </w:tcPr>
          <w:p>
            <w:pPr>
              <w:spacing w:after="0"/>
            </w:pPr>
            <w:r/>
            <w:r>
              <w:rPr>
                <w:rFonts w:ascii="Carlito" w:hAnsi="Carlito" w:eastAsia="Carlito"/>
                <w:b/>
                <w:color w:val="FFFFFF"/>
                <w:sz w:val="16"/>
              </w:rPr>
              <w:t>Preuve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V1 - Fonction</w:t>
            </w:r>
          </w:p>
        </w:tc>
        <w:tc>
          <w:tcPr>
            <w:tcW w:type="dxa" w:w="3458"/>
            <w:vAlign w:val="center"/>
            <w:tcMar>
              <w:top w:w="80" w:type="dxa"/>
              <w:start w:w="90" w:type="dxa"/>
              <w:bottom w:w="80" w:type="dxa"/>
              <w:end w:w="90" w:type="dxa"/>
            </w:tcMar>
            <w:shd w:fill="F2F2F2"/>
          </w:tcPr>
          <w:p>
            <w:pPr>
              <w:spacing w:after="0"/>
            </w:pPr>
            <w:r/>
            <w:r>
              <w:rPr>
                <w:rFonts w:ascii="Carlito" w:hAnsi="Carlito" w:eastAsia="Carlito"/>
                <w:b w:val="0"/>
                <w:color w:val="243447"/>
                <w:sz w:val="16"/>
              </w:rPr>
              <w:t>Une formule ou corrélation isolée</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6"/>
              </w:rPr>
              <w:t>Test unitaire avec valeur de référence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V2 - Composant</w:t>
            </w:r>
          </w:p>
        </w:tc>
        <w:tc>
          <w:tcPr>
            <w:tcW w:type="dxa" w:w="3458"/>
            <w:vAlign w:val="center"/>
            <w:tcMar>
              <w:top w:w="80" w:type="dxa"/>
              <w:start w:w="90" w:type="dxa"/>
              <w:bottom w:w="80" w:type="dxa"/>
              <w:end w:w="90" w:type="dxa"/>
            </w:tcMar>
          </w:tcPr>
          <w:p>
            <w:pPr>
              <w:spacing w:after="0"/>
            </w:pPr>
            <w:r/>
            <w:r>
              <w:rPr>
                <w:rFonts w:ascii="Carlito" w:hAnsi="Carlito" w:eastAsia="Carlito"/>
                <w:b w:val="0"/>
                <w:color w:val="243447"/>
                <w:sz w:val="16"/>
              </w:rPr>
              <w:t>Conduite, pompe, vanne, bac</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6"/>
              </w:rPr>
              <w:t>Cas analytique ou constructeur</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V3 - Système</w:t>
            </w:r>
          </w:p>
        </w:tc>
        <w:tc>
          <w:tcPr>
            <w:tcW w:type="dxa" w:w="3458"/>
            <w:vAlign w:val="center"/>
            <w:tcMar>
              <w:top w:w="80" w:type="dxa"/>
              <w:start w:w="90" w:type="dxa"/>
              <w:bottom w:w="80" w:type="dxa"/>
              <w:end w:w="90" w:type="dxa"/>
            </w:tcMar>
            <w:shd w:fill="F2F2F2"/>
          </w:tcPr>
          <w:p>
            <w:pPr>
              <w:spacing w:after="0"/>
            </w:pPr>
            <w:r/>
            <w:r>
              <w:rPr>
                <w:rFonts w:ascii="Carlito" w:hAnsi="Carlito" w:eastAsia="Carlito"/>
                <w:b w:val="0"/>
                <w:color w:val="243447"/>
                <w:sz w:val="16"/>
              </w:rPr>
              <w:t>Pipeline/station/transfert</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6"/>
              </w:rPr>
              <w:t>Bilan et comparaison indépendante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V4 - Logiciel</w:t>
            </w:r>
          </w:p>
        </w:tc>
        <w:tc>
          <w:tcPr>
            <w:tcW w:type="dxa" w:w="3458"/>
            <w:vAlign w:val="center"/>
            <w:tcMar>
              <w:top w:w="80" w:type="dxa"/>
              <w:start w:w="90" w:type="dxa"/>
              <w:bottom w:w="80" w:type="dxa"/>
              <w:end w:w="90" w:type="dxa"/>
            </w:tcMar>
          </w:tcPr>
          <w:p>
            <w:pPr>
              <w:spacing w:after="0"/>
            </w:pPr>
            <w:r/>
            <w:r>
              <w:rPr>
                <w:rFonts w:ascii="Carlito" w:hAnsi="Carlito" w:eastAsia="Carlito"/>
                <w:b w:val="0"/>
                <w:color w:val="243447"/>
                <w:sz w:val="16"/>
              </w:rPr>
              <w:t>Workflow complet et rapports</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6"/>
              </w:rPr>
              <w:t>Recette fonctionnelle reproductible</w:t>
            </w:r>
          </w:p>
        </w:tc>
      </w:tr>
      <w:tr>
        <w:tc>
          <w:tcPr>
            <w:tcW w:type="dxa" w:w="1814"/>
            <w:vAlign w:val="center"/>
            <w:tcMar>
              <w:top w:w="80" w:type="dxa"/>
              <w:start w:w="90" w:type="dxa"/>
              <w:bottom w:w="80" w:type="dxa"/>
              <w:end w:w="90" w:type="dxa"/>
            </w:tcMar>
            <w:shd w:fill="F2F2F2"/>
          </w:tcPr>
          <w:p>
            <w:pPr>
              <w:spacing w:after="0"/>
            </w:pPr>
            <w:r/>
            <w:r>
              <w:rPr>
                <w:rFonts w:ascii="Carlito" w:hAnsi="Carlito" w:eastAsia="Carlito"/>
                <w:b w:val="0"/>
                <w:color w:val="243447"/>
                <w:sz w:val="16"/>
              </w:rPr>
              <w:t>V5 - Site pilote</w:t>
            </w:r>
          </w:p>
        </w:tc>
        <w:tc>
          <w:tcPr>
            <w:tcW w:type="dxa" w:w="3458"/>
            <w:vAlign w:val="center"/>
            <w:tcMar>
              <w:top w:w="80" w:type="dxa"/>
              <w:start w:w="90" w:type="dxa"/>
              <w:bottom w:w="80" w:type="dxa"/>
              <w:end w:w="90" w:type="dxa"/>
            </w:tcMar>
            <w:shd w:fill="F2F2F2"/>
          </w:tcPr>
          <w:p>
            <w:pPr>
              <w:spacing w:after="0"/>
            </w:pPr>
            <w:r/>
            <w:r>
              <w:rPr>
                <w:rFonts w:ascii="Carlito" w:hAnsi="Carlito" w:eastAsia="Carlito"/>
                <w:b w:val="0"/>
                <w:color w:val="243447"/>
                <w:sz w:val="16"/>
              </w:rPr>
              <w:t>Mesures réelles</w:t>
            </w:r>
          </w:p>
        </w:tc>
        <w:tc>
          <w:tcPr>
            <w:tcW w:type="dxa" w:w="4139"/>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Calibration, validation croisée et incertitude</w:t>
            </w:r>
          </w:p>
        </w:tc>
      </w:tr>
      <w:tr>
        <w:tc>
          <w:tcPr>
            <w:tcW w:type="dxa" w:w="1814"/>
            <w:vAlign w:val="center"/>
            <w:tcMar>
              <w:top w:w="80" w:type="dxa"/>
              <w:start w:w="90" w:type="dxa"/>
              <w:bottom w:w="80" w:type="dxa"/>
              <w:end w:w="90" w:type="dxa"/>
            </w:tcMar>
          </w:tcPr>
          <w:p>
            <w:pPr>
              <w:spacing w:after="0"/>
            </w:pPr>
            <w:r/>
            <w:r>
              <w:rPr>
                <w:rFonts w:ascii="Carlito" w:hAnsi="Carlito" w:eastAsia="Carlito"/>
                <w:b w:val="0"/>
                <w:color w:val="243447"/>
                <w:sz w:val="16"/>
              </w:rPr>
              <w:t>V6 - Exploitation</w:t>
            </w:r>
          </w:p>
        </w:tc>
        <w:tc>
          <w:tcPr>
            <w:tcW w:type="dxa" w:w="3458"/>
            <w:vAlign w:val="center"/>
            <w:tcMar>
              <w:top w:w="80" w:type="dxa"/>
              <w:start w:w="90" w:type="dxa"/>
              <w:bottom w:w="80" w:type="dxa"/>
              <w:end w:w="90" w:type="dxa"/>
            </w:tcMar>
          </w:tcPr>
          <w:p>
            <w:pPr>
              <w:spacing w:after="0"/>
            </w:pPr>
            <w:r/>
            <w:r>
              <w:rPr>
                <w:rFonts w:ascii="Carlito" w:hAnsi="Carlito" w:eastAsia="Carlito"/>
                <w:b w:val="0"/>
                <w:color w:val="243447"/>
                <w:sz w:val="16"/>
              </w:rPr>
              <w:t>Suivi continu</w:t>
            </w:r>
          </w:p>
        </w:tc>
        <w:tc>
          <w:tcPr>
            <w:tcW w:type="dxa" w:w="4139"/>
            <w:vAlign w:val="center"/>
            <w:tcMar>
              <w:top w:w="80" w:type="dxa"/>
              <w:start w:w="90" w:type="dxa"/>
              <w:bottom w:w="80" w:type="dxa"/>
              <w:end w:w="90" w:type="dxa"/>
            </w:tcMar>
          </w:tcPr>
          <w:p>
            <w:pPr>
              <w:spacing w:after="0"/>
            </w:pPr>
            <w:r/>
            <w:r>
              <w:rPr>
                <w:rFonts w:ascii="Carlito" w:hAnsi="Carlito" w:eastAsia="Carlito"/>
                <w:b w:val="0"/>
                <w:color w:val="243447"/>
                <w:sz w:val="16"/>
              </w:rPr>
              <w:t>Surveillance de dérive et revalidation</w:t>
            </w:r>
          </w:p>
        </w:tc>
      </w:tr>
    </w:tbl>
    <w:p>
      <w:pPr>
        <w:spacing w:after="40"/>
      </w:pPr>
    </w:p>
    <w:p>
      <w:pPr>
        <w:pStyle w:val="Heading1"/>
      </w:pPr>
      <w:r>
        <w:t>3. Tolérances initiales proposées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948"/>
            <w:vAlign w:val="center"/>
            <w:tcMar>
              <w:top w:w="80" w:type="dxa"/>
              <w:start w:w="90" w:type="dxa"/>
              <w:bottom w:w="80" w:type="dxa"/>
              <w:end w:w="90" w:type="dxa"/>
            </w:tcMar>
            <w:shd w:fill="17365D"/>
          </w:tcPr>
          <w:p>
            <w:pPr>
              <w:spacing w:after="0"/>
            </w:pPr>
            <w:r/>
            <w:r>
              <w:rPr>
                <w:rFonts w:ascii="Carlito" w:hAnsi="Carlito" w:eastAsia="Carlito"/>
                <w:b/>
                <w:color w:val="FFFFFF"/>
                <w:sz w:val="16"/>
              </w:rPr>
              <w:t>Grandeur</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6"/>
              </w:rPr>
              <w:t>Tolérance MVP indicative</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6"/>
              </w:rPr>
              <w:t>Condition</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cas analytique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 0,1 %</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 exactes et modèle identique</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Pression/charge cas analytique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 0,2 %</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Sans incertitude d’entrée</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Facteur de frottement</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 0,1 %</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Comparaison à solveur Colebrook de haute précision</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Courbe pompe approximée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Erreur RMS ≤ 1 % ou exigence constructeur</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Dans la plage valide</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Conservation de masse réseau</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 10⁻⁶ relatif ou seuil absolu configuré</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À chaque nœud</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Transfert volume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 0,1 % numérique</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Hors incertitude de jaugeage</w:t>
            </w:r>
          </w:p>
        </w:tc>
      </w:tr>
      <w:tr>
        <w:tc>
          <w:tcPr>
            <w:tcW w:type="dxa" w:w="294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Comparaison mesures réelles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6"/>
              </w:rPr>
              <w:t>Tolérance issue de l’incertitude instrumentale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Site pilote</w:t>
            </w:r>
          </w:p>
        </w:tc>
      </w:tr>
      <w:tr>
        <w:tc>
          <w:tcPr>
            <w:tcW w:type="dxa" w:w="2948"/>
            <w:vAlign w:val="center"/>
            <w:tcMar>
              <w:top w:w="80" w:type="dxa"/>
              <w:start w:w="90" w:type="dxa"/>
              <w:bottom w:w="80" w:type="dxa"/>
              <w:end w:w="90" w:type="dxa"/>
            </w:tcMar>
          </w:tcPr>
          <w:p>
            <w:pPr>
              <w:spacing w:after="0"/>
            </w:pPr>
            <w:r/>
            <w:r>
              <w:rPr>
                <w:rFonts w:ascii="Carlito" w:hAnsi="Carlito" w:eastAsia="Carlito"/>
                <w:b w:val="0"/>
                <w:color w:val="243447"/>
                <w:sz w:val="16"/>
              </w:rPr>
              <w:t>Optimisation</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6"/>
              </w:rPr>
              <w:t>Solution faisable et objectif vérifié</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Optimalité selon gap déclaré</w:t>
            </w:r>
          </w:p>
        </w:tc>
      </w:tr>
    </w:tbl>
    <w:p>
      <w:pPr>
        <w:spacing w:after="40"/>
      </w:pPr>
    </w:p>
    <w:tbl>
      <w:tblPr>
        <w:tblW w:type="auto" w:w="0"/>
        <w:jc w:val="center"/>
        <w:tblLook w:firstColumn="1" w:firstRow="1" w:lastColumn="0" w:lastRow="0" w:noHBand="0" w:noVBand="1" w:val="04A0"/>
      </w:tblPr>
      <w:tblGrid>
        <w:gridCol w:w="9979"/>
      </w:tblGrid>
      <w:tr>
        <w:tc>
          <w:tcPr>
            <w:tcW w:type="dxa" w:w="9979"/>
            <w:shd w:fill="FCE4D6"/>
            <w:tcMar>
              <w:top w:w="130" w:type="dxa"/>
              <w:start w:w="140" w:type="dxa"/>
              <w:bottom w:w="130" w:type="dxa"/>
              <w:end w:w="140" w:type="dxa"/>
            </w:tcMar>
          </w:tcPr>
          <w:p>
            <w:r/>
            <w:r>
              <w:rPr>
                <w:rFonts w:ascii="Liberation Sans" w:hAnsi="Liberation Sans"/>
                <w:b/>
                <w:color w:val="C00000"/>
                <w:sz w:val="21"/>
              </w:rPr>
              <w:t>Important</w:t>
            </w:r>
          </w:p>
          <w:p>
            <w:pPr>
              <w:spacing w:after="0"/>
            </w:pPr>
            <w:r>
              <w:rPr>
                <w:rFonts w:ascii="Carlito" w:hAnsi="Carlito"/>
                <w:color w:val="243447"/>
                <w:sz w:val="19"/>
              </w:rPr>
              <w:t>Ces seuils sont des cibles de développement et non des garanties métrologiques. Sur site, les tolérances doivent intégrer l’incertitude des capteurs, propriétés, barémages et conditions réelles.</w:t>
            </w:r>
          </w:p>
        </w:tc>
      </w:tr>
    </w:tbl>
    <w:p>
      <w:pPr>
        <w:spacing w:after="20"/>
      </w:pPr>
    </w:p>
    <w:p>
      <w:pPr>
        <w:pStyle w:val="Heading1"/>
      </w:pPr>
      <w:r>
        <w:t>4. Cas analytiques minimaux</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3288"/>
            <w:vAlign w:val="center"/>
            <w:tcMar>
              <w:top w:w="80" w:type="dxa"/>
              <w:start w:w="90" w:type="dxa"/>
              <w:bottom w:w="80" w:type="dxa"/>
              <w:end w:w="90" w:type="dxa"/>
            </w:tcMar>
            <w:shd w:fill="17365D"/>
          </w:tcPr>
          <w:p>
            <w:pPr>
              <w:spacing w:after="0"/>
            </w:pPr>
            <w:r/>
            <w:r>
              <w:rPr>
                <w:rFonts w:ascii="Carlito" w:hAnsi="Carlito" w:eastAsia="Carlito"/>
                <w:b/>
                <w:color w:val="FFFFFF"/>
                <w:sz w:val="15"/>
              </w:rPr>
              <w:t>Cas</w:t>
            </w:r>
          </w:p>
        </w:tc>
        <w:tc>
          <w:tcPr>
            <w:tcW w:type="dxa" w:w="2835"/>
            <w:vAlign w:val="center"/>
            <w:tcMar>
              <w:top w:w="80" w:type="dxa"/>
              <w:start w:w="90" w:type="dxa"/>
              <w:bottom w:w="80" w:type="dxa"/>
              <w:end w:w="90" w:type="dxa"/>
            </w:tcMar>
            <w:shd w:fill="17365D"/>
          </w:tcPr>
          <w:p>
            <w:pPr>
              <w:spacing w:after="0"/>
            </w:pPr>
            <w:r/>
            <w:r>
              <w:rPr>
                <w:rFonts w:ascii="Carlito" w:hAnsi="Carlito" w:eastAsia="Carlito"/>
                <w:b/>
                <w:color w:val="FFFFFF"/>
                <w:sz w:val="15"/>
              </w:rPr>
              <w:t>Référence attendue</w:t>
            </w:r>
          </w:p>
        </w:tc>
        <w:tc>
          <w:tcPr>
            <w:tcW w:type="dxa" w:w="1871"/>
            <w:vAlign w:val="center"/>
            <w:tcMar>
              <w:top w:w="80" w:type="dxa"/>
              <w:start w:w="90" w:type="dxa"/>
              <w:bottom w:w="80" w:type="dxa"/>
              <w:end w:w="90" w:type="dxa"/>
            </w:tcMar>
            <w:shd w:fill="17365D"/>
          </w:tcPr>
          <w:p>
            <w:pPr>
              <w:spacing w:after="0"/>
            </w:pPr>
            <w:r/>
            <w:r>
              <w:rPr>
                <w:rFonts w:ascii="Carlito" w:hAnsi="Carlito" w:eastAsia="Carlito"/>
                <w:b/>
                <w:color w:val="FFFFFF"/>
                <w:sz w:val="15"/>
              </w:rPr>
              <w:t>Contrôles</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VAL-LIQ-001</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Conduite horizontale laminaire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Hagen-Poiseuille / λ=64/Re</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Q, Δp, Re</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5"/>
              </w:rPr>
              <w:t>VAL-LIQ-002</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Conduite turbulente unique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Darcy-Weisbach + Colebrook</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λ, h_f, p_out</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VAL-LIQ-003</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Deux diamètres en série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Somme des pertes</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Continuité du débit</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5"/>
              </w:rPr>
              <w:t>VAL-LIQ-004</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Branche simple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Conservation et pertes égales selon montage</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Débits branches</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VAL-LIQ-005</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Différence d’altitude sans pompe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Bernoulli</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Pressions extrêmes</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5"/>
              </w:rPr>
              <w:t>VAL-LIQ-006</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Pertes singulières</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ΣK</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Contribution détaillée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VAL-PMP-001</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Pompe idéale + conduite</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Intersection courbe réseau</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Q et H</w:t>
            </w:r>
          </w:p>
        </w:tc>
      </w:tr>
      <w:tr>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5"/>
              </w:rPr>
              <w:t>VAL-TNK-001</w:t>
            </w:r>
          </w:p>
        </w:tc>
        <w:tc>
          <w:tcPr>
            <w:tcW w:type="dxa" w:w="3288"/>
            <w:vAlign w:val="center"/>
            <w:tcMar>
              <w:top w:w="80" w:type="dxa"/>
              <w:start w:w="90" w:type="dxa"/>
              <w:bottom w:w="80" w:type="dxa"/>
              <w:end w:w="90" w:type="dxa"/>
            </w:tcMar>
          </w:tcPr>
          <w:p>
            <w:pPr>
              <w:spacing w:after="0"/>
            </w:pPr>
            <w:r/>
            <w:r>
              <w:rPr>
                <w:rFonts w:ascii="Carlito" w:hAnsi="Carlito" w:eastAsia="Carlito"/>
                <w:b w:val="0"/>
                <w:color w:val="243447"/>
                <w:sz w:val="15"/>
              </w:rPr>
              <w:t>Bac cylindrique</w:t>
            </w:r>
          </w:p>
        </w:tc>
        <w:tc>
          <w:tcPr>
            <w:tcW w:type="dxa" w:w="2835"/>
            <w:vAlign w:val="center"/>
            <w:tcMar>
              <w:top w:w="80" w:type="dxa"/>
              <w:start w:w="90" w:type="dxa"/>
              <w:bottom w:w="80" w:type="dxa"/>
              <w:end w:w="90" w:type="dxa"/>
            </w:tcMar>
          </w:tcPr>
          <w:p>
            <w:pPr>
              <w:spacing w:after="0"/>
            </w:pPr>
            <w:r/>
            <w:r>
              <w:rPr>
                <w:rFonts w:ascii="Carlito" w:hAnsi="Carlito" w:eastAsia="Carlito"/>
                <w:b w:val="0"/>
                <w:color w:val="243447"/>
                <w:sz w:val="15"/>
              </w:rPr>
              <w:t>V=Ah</w:t>
            </w:r>
          </w:p>
        </w:tc>
        <w:tc>
          <w:tcPr>
            <w:tcW w:type="dxa" w:w="1871"/>
            <w:vAlign w:val="center"/>
            <w:tcMar>
              <w:top w:w="80" w:type="dxa"/>
              <w:start w:w="90" w:type="dxa"/>
              <w:bottom w:w="80" w:type="dxa"/>
              <w:end w:w="90" w:type="dxa"/>
            </w:tcMar>
          </w:tcPr>
          <w:p>
            <w:pPr>
              <w:spacing w:after="0"/>
            </w:pPr>
            <w:r/>
            <w:r>
              <w:rPr>
                <w:rFonts w:ascii="Carlito" w:hAnsi="Carlito" w:eastAsia="Carlito"/>
                <w:b w:val="0"/>
                <w:color w:val="243447"/>
                <w:sz w:val="15"/>
              </w:rPr>
              <w:t>Niveau-volume</w:t>
            </w:r>
          </w:p>
        </w:tc>
      </w:tr>
      <w:tr>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5"/>
              </w:rPr>
              <w:t>VAL-TNK-002</w:t>
            </w:r>
          </w:p>
        </w:tc>
        <w:tc>
          <w:tcPr>
            <w:tcW w:type="dxa" w:w="3288"/>
            <w:vAlign w:val="center"/>
            <w:tcMar>
              <w:top w:w="80" w:type="dxa"/>
              <w:start w:w="90" w:type="dxa"/>
              <w:bottom w:w="80" w:type="dxa"/>
              <w:end w:w="90" w:type="dxa"/>
            </w:tcMar>
            <w:shd w:fill="F2F2F2"/>
          </w:tcPr>
          <w:p>
            <w:pPr>
              <w:spacing w:after="0"/>
            </w:pPr>
            <w:r/>
            <w:r>
              <w:rPr>
                <w:rFonts w:ascii="Carlito" w:hAnsi="Carlito" w:eastAsia="Carlito"/>
                <w:b w:val="0"/>
                <w:color w:val="243447"/>
                <w:sz w:val="15"/>
              </w:rPr>
              <w:t>Deux bacs sans pertes variables</w:t>
            </w:r>
          </w:p>
        </w:tc>
        <w:tc>
          <w:tcPr>
            <w:tcW w:type="dxa" w:w="2835"/>
            <w:vAlign w:val="center"/>
            <w:tcMar>
              <w:top w:w="80" w:type="dxa"/>
              <w:start w:w="90" w:type="dxa"/>
              <w:bottom w:w="80" w:type="dxa"/>
              <w:end w:w="90" w:type="dxa"/>
            </w:tcMar>
            <w:shd w:fill="F2F2F2"/>
          </w:tcPr>
          <w:p>
            <w:pPr>
              <w:spacing w:after="0"/>
            </w:pPr>
            <w:r/>
            <w:r>
              <w:rPr>
                <w:rFonts w:ascii="Carlito" w:hAnsi="Carlito" w:eastAsia="Carlito"/>
                <w:b w:val="0"/>
                <w:color w:val="243447"/>
                <w:sz w:val="15"/>
              </w:rPr>
              <w:t>Bilan dynamique simple</w:t>
            </w:r>
          </w:p>
        </w:tc>
        <w:tc>
          <w:tcPr>
            <w:tcW w:type="dxa" w:w="1871"/>
            <w:vAlign w:val="center"/>
            <w:tcMar>
              <w:top w:w="80" w:type="dxa"/>
              <w:start w:w="90" w:type="dxa"/>
              <w:bottom w:w="80" w:type="dxa"/>
              <w:end w:w="90" w:type="dxa"/>
            </w:tcMar>
            <w:shd w:fill="F2F2F2"/>
          </w:tcPr>
          <w:p>
            <w:pPr>
              <w:spacing w:after="0"/>
            </w:pPr>
            <w:r/>
            <w:r>
              <w:rPr>
                <w:rFonts w:ascii="Carlito" w:hAnsi="Carlito" w:eastAsia="Carlito"/>
                <w:b w:val="0"/>
                <w:color w:val="243447"/>
                <w:sz w:val="15"/>
              </w:rPr>
              <w:t>h(t), conservation</w:t>
            </w:r>
          </w:p>
        </w:tc>
      </w:tr>
    </w:tbl>
    <w:p>
      <w:pPr>
        <w:spacing w:after="40"/>
      </w:pPr>
    </w:p>
    <w:p>
      <w:pPr>
        <w:pStyle w:val="Heading1"/>
      </w:pPr>
      <w:r>
        <w:t>5. Cas pipeline multi-stations fourni</w:t>
      </w:r>
    </w:p>
    <w:p>
      <w:r>
        <w:rPr>
          <w:i w:val="0"/>
        </w:rPr>
        <w:t>Le programme Python et le support de cours transmis fournissent un cas de 460 km avec profil complexe, station de tête, deux stations intermédiaires, courbes de pompes et détection de zones gravitaires. Ce cas sera conservé comme benchmark académique, après correction des erreurs identifiées dans le prototype et séparation des règles russes du moteur international.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8277"/>
            <w:vAlign w:val="center"/>
            <w:tcMar>
              <w:top w:w="80" w:type="dxa"/>
              <w:start w:w="90" w:type="dxa"/>
              <w:bottom w:w="80" w:type="dxa"/>
              <w:end w:w="90" w:type="dxa"/>
            </w:tcMar>
            <w:shd w:fill="17365D"/>
          </w:tcPr>
          <w:p>
            <w:pPr>
              <w:spacing w:after="0"/>
            </w:pPr>
            <w:r/>
            <w:r>
              <w:rPr>
                <w:rFonts w:ascii="Carlito" w:hAnsi="Carlito" w:eastAsia="Carlito"/>
                <w:b/>
                <w:color w:val="FFFFFF"/>
                <w:sz w:val="17"/>
              </w:rPr>
              <w:t>Action de validation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7"/>
              </w:rPr>
              <w:t>1</w:t>
            </w:r>
          </w:p>
        </w:tc>
        <w:tc>
          <w:tcPr>
            <w:tcW w:type="dxa" w:w="8277"/>
            <w:vAlign w:val="center"/>
            <w:tcMar>
              <w:top w:w="80" w:type="dxa"/>
              <w:start w:w="90" w:type="dxa"/>
              <w:bottom w:w="80" w:type="dxa"/>
              <w:end w:w="90" w:type="dxa"/>
            </w:tcMar>
            <w:shd w:fill="F2F2F2"/>
          </w:tcPr>
          <w:p>
            <w:pPr>
              <w:spacing w:after="0"/>
            </w:pPr>
            <w:r/>
            <w:r>
              <w:rPr>
                <w:rFonts w:ascii="Carlito" w:hAnsi="Carlito" w:eastAsia="Carlito"/>
                <w:b w:val="0"/>
                <w:color w:val="243447"/>
                <w:sz w:val="17"/>
              </w:rPr>
              <w:t>Reconstituer exactement les entrées, unités et points de profil.</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7"/>
              </w:rPr>
              <w:t>2</w:t>
            </w:r>
          </w:p>
        </w:tc>
        <w:tc>
          <w:tcPr>
            <w:tcW w:type="dxa" w:w="8277"/>
            <w:vAlign w:val="center"/>
            <w:tcMar>
              <w:top w:w="80" w:type="dxa"/>
              <w:start w:w="90" w:type="dxa"/>
              <w:bottom w:w="80" w:type="dxa"/>
              <w:end w:w="90" w:type="dxa"/>
            </w:tcMar>
          </w:tcPr>
          <w:p>
            <w:pPr>
              <w:spacing w:after="0"/>
            </w:pPr>
            <w:r/>
            <w:r>
              <w:rPr>
                <w:rFonts w:ascii="Carlito" w:hAnsi="Carlito" w:eastAsia="Carlito"/>
                <w:b w:val="0"/>
                <w:color w:val="243447"/>
                <w:sz w:val="17"/>
              </w:rPr>
              <w:t>Corriger le double comptage de la charge de la station de tête et la conversion journalière.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7"/>
              </w:rPr>
              <w:t>3</w:t>
            </w:r>
          </w:p>
        </w:tc>
        <w:tc>
          <w:tcPr>
            <w:tcW w:type="dxa" w:w="8277"/>
            <w:vAlign w:val="center"/>
            <w:tcMar>
              <w:top w:w="80" w:type="dxa"/>
              <w:start w:w="90" w:type="dxa"/>
              <w:bottom w:w="80" w:type="dxa"/>
              <w:end w:w="90" w:type="dxa"/>
            </w:tcMar>
            <w:shd w:fill="F2F2F2"/>
          </w:tcPr>
          <w:p>
            <w:pPr>
              <w:spacing w:after="0"/>
            </w:pPr>
            <w:r/>
            <w:r>
              <w:rPr>
                <w:rFonts w:ascii="Carlito" w:hAnsi="Carlito" w:eastAsia="Carlito"/>
                <w:b w:val="0"/>
                <w:color w:val="243447"/>
                <w:sz w:val="17"/>
              </w:rPr>
              <w:t>Exécuter une version de référence figée et conserver les sorties.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7"/>
              </w:rPr>
              <w:t>4</w:t>
            </w:r>
          </w:p>
        </w:tc>
        <w:tc>
          <w:tcPr>
            <w:tcW w:type="dxa" w:w="8277"/>
            <w:vAlign w:val="center"/>
            <w:tcMar>
              <w:top w:w="80" w:type="dxa"/>
              <w:start w:w="90" w:type="dxa"/>
              <w:bottom w:w="80" w:type="dxa"/>
              <w:end w:w="90" w:type="dxa"/>
            </w:tcMar>
          </w:tcPr>
          <w:p>
            <w:pPr>
              <w:spacing w:after="0"/>
            </w:pPr>
            <w:r/>
            <w:r>
              <w:rPr>
                <w:rFonts w:ascii="Carlito" w:hAnsi="Carlito" w:eastAsia="Carlito"/>
                <w:b w:val="0"/>
                <w:color w:val="243447"/>
                <w:sz w:val="17"/>
              </w:rPr>
              <w:t>Comparer le nouveau moteur sur débit, pressions, charge et localisation des zones.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7"/>
              </w:rPr>
              <w:t>5</w:t>
            </w:r>
          </w:p>
        </w:tc>
        <w:tc>
          <w:tcPr>
            <w:tcW w:type="dxa" w:w="8277"/>
            <w:vAlign w:val="center"/>
            <w:tcMar>
              <w:top w:w="80" w:type="dxa"/>
              <w:start w:w="90" w:type="dxa"/>
              <w:bottom w:w="80" w:type="dxa"/>
              <w:end w:w="90" w:type="dxa"/>
            </w:tcMar>
            <w:shd w:fill="F2F2F2"/>
          </w:tcPr>
          <w:p>
            <w:pPr>
              <w:spacing w:after="0"/>
            </w:pPr>
            <w:r/>
            <w:r>
              <w:rPr>
                <w:rFonts w:ascii="Carlito" w:hAnsi="Carlito" w:eastAsia="Carlito"/>
                <w:b w:val="0"/>
                <w:color w:val="243447"/>
                <w:sz w:val="17"/>
              </w:rPr>
              <w:t>Expliquer tout écart par une différence de modèle, corrélation ou correction.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7"/>
              </w:rPr>
              <w:t>6</w:t>
            </w:r>
          </w:p>
        </w:tc>
        <w:tc>
          <w:tcPr>
            <w:tcW w:type="dxa" w:w="8277"/>
            <w:vAlign w:val="center"/>
            <w:tcMar>
              <w:top w:w="80" w:type="dxa"/>
              <w:start w:w="90" w:type="dxa"/>
              <w:bottom w:w="80" w:type="dxa"/>
              <w:end w:w="90" w:type="dxa"/>
            </w:tcMar>
          </w:tcPr>
          <w:p>
            <w:pPr>
              <w:spacing w:after="0"/>
            </w:pPr>
            <w:r/>
            <w:r>
              <w:rPr>
                <w:rFonts w:ascii="Carlito" w:hAnsi="Carlito" w:eastAsia="Carlito"/>
                <w:b w:val="0"/>
                <w:color w:val="243447"/>
                <w:sz w:val="17"/>
              </w:rPr>
              <w:t>Créer des variantes : nombre de pompes, stations, rugosité et conditions de limite.</w:t>
            </w:r>
          </w:p>
        </w:tc>
      </w:tr>
    </w:tbl>
    <w:p>
      <w:pPr>
        <w:spacing w:after="40"/>
      </w:pPr>
    </w:p>
    <w:p>
      <w:pPr>
        <w:pStyle w:val="Heading1"/>
      </w:pPr>
      <w:r>
        <w:t>6. Validation des pompes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531"/>
            <w:vAlign w:val="center"/>
            <w:tcMar>
              <w:top w:w="80" w:type="dxa"/>
              <w:start w:w="90" w:type="dxa"/>
              <w:bottom w:w="80" w:type="dxa"/>
              <w:end w:w="90" w:type="dxa"/>
            </w:tcMar>
            <w:shd w:fill="17365D"/>
          </w:tcPr>
          <w:p>
            <w:pPr>
              <w:spacing w:after="0"/>
            </w:pPr>
            <w:r/>
            <w:r>
              <w:rPr>
                <w:rFonts w:ascii="Carlito" w:hAnsi="Carlito" w:eastAsia="Carlito"/>
                <w:b/>
                <w:color w:val="FFFFFF"/>
                <w:sz w:val="16"/>
              </w:rPr>
              <w:t>ID</w:t>
            </w:r>
          </w:p>
        </w:tc>
        <w:tc>
          <w:tcPr>
            <w:tcW w:type="dxa" w:w="4082"/>
            <w:vAlign w:val="center"/>
            <w:tcMar>
              <w:top w:w="80" w:type="dxa"/>
              <w:start w:w="90" w:type="dxa"/>
              <w:bottom w:w="80" w:type="dxa"/>
              <w:end w:w="90" w:type="dxa"/>
            </w:tcMar>
            <w:shd w:fill="17365D"/>
          </w:tcPr>
          <w:p>
            <w:pPr>
              <w:spacing w:after="0"/>
            </w:pPr>
            <w:r/>
            <w:r>
              <w:rPr>
                <w:rFonts w:ascii="Carlito" w:hAnsi="Carlito" w:eastAsia="Carlito"/>
                <w:b/>
                <w:color w:val="FFFFFF"/>
                <w:sz w:val="16"/>
              </w:rPr>
              <w:t>Cas</w:t>
            </w:r>
          </w:p>
        </w:tc>
        <w:tc>
          <w:tcPr>
            <w:tcW w:type="dxa" w:w="3798"/>
            <w:vAlign w:val="center"/>
            <w:tcMar>
              <w:top w:w="80" w:type="dxa"/>
              <w:start w:w="90" w:type="dxa"/>
              <w:bottom w:w="80" w:type="dxa"/>
              <w:end w:w="90" w:type="dxa"/>
            </w:tcMar>
            <w:shd w:fill="17365D"/>
          </w:tcPr>
          <w:p>
            <w:pPr>
              <w:spacing w:after="0"/>
            </w:pPr>
            <w:r/>
            <w:r>
              <w:rPr>
                <w:rFonts w:ascii="Carlito" w:hAnsi="Carlito" w:eastAsia="Carlito"/>
                <w:b/>
                <w:color w:val="FFFFFF"/>
                <w:sz w:val="16"/>
              </w:rPr>
              <w:t>Critère</w:t>
            </w:r>
          </w:p>
        </w:tc>
      </w:tr>
      <w:tr>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VAL-PMP-002</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Ajustement H=a-bQ² sur points fournis</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Coefficients et erreur reproduits</w:t>
            </w:r>
          </w:p>
        </w:tc>
      </w:tr>
      <w:tr>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6"/>
              </w:rPr>
              <w:t>VAL-PMP-003</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Deux pompes identiques en série</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Charge doublée au même débit</w:t>
            </w:r>
          </w:p>
        </w:tc>
      </w:tr>
      <w:tr>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VAL-PMP-004</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Deux pompes identiques en parallèle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 doublé à charge donnée, selon domaine</w:t>
            </w:r>
          </w:p>
        </w:tc>
      </w:tr>
      <w:tr>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6"/>
              </w:rPr>
              <w:t>VAL-PMP-005</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Pompes différentes en parallèle</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Partage de débit stable et enveloppes respectées</w:t>
            </w:r>
          </w:p>
        </w:tc>
      </w:tr>
      <w:tr>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VAL-PMP-006</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Variation de vitesse</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Loi d’affinité et limites</w:t>
            </w:r>
          </w:p>
        </w:tc>
      </w:tr>
      <w:tr>
        <w:tc>
          <w:tcPr>
            <w:tcW w:type="dxa" w:w="1531"/>
            <w:vAlign w:val="center"/>
            <w:tcMar>
              <w:top w:w="80" w:type="dxa"/>
              <w:start w:w="90" w:type="dxa"/>
              <w:bottom w:w="80" w:type="dxa"/>
              <w:end w:w="90" w:type="dxa"/>
            </w:tcMar>
          </w:tcPr>
          <w:p>
            <w:pPr>
              <w:spacing w:after="0"/>
            </w:pPr>
            <w:r/>
            <w:r>
              <w:rPr>
                <w:rFonts w:ascii="Carlito" w:hAnsi="Carlito" w:eastAsia="Carlito"/>
                <w:b w:val="0"/>
                <w:color w:val="243447"/>
                <w:sz w:val="16"/>
              </w:rPr>
              <w:t>VAL-PMP-007</w:t>
            </w:r>
          </w:p>
        </w:tc>
        <w:tc>
          <w:tcPr>
            <w:tcW w:type="dxa" w:w="4082"/>
            <w:vAlign w:val="center"/>
            <w:tcMar>
              <w:top w:w="80" w:type="dxa"/>
              <w:start w:w="90" w:type="dxa"/>
              <w:bottom w:w="80" w:type="dxa"/>
              <w:end w:w="90" w:type="dxa"/>
            </w:tcMar>
          </w:tcPr>
          <w:p>
            <w:pPr>
              <w:spacing w:after="0"/>
            </w:pPr>
            <w:r/>
            <w:r>
              <w:rPr>
                <w:rFonts w:ascii="Carlito" w:hAnsi="Carlito" w:eastAsia="Carlito"/>
                <w:b w:val="0"/>
                <w:color w:val="243447"/>
                <w:sz w:val="16"/>
              </w:rPr>
              <w:t>NPSH</w:t>
            </w:r>
          </w:p>
        </w:tc>
        <w:tc>
          <w:tcPr>
            <w:tcW w:type="dxa" w:w="3798"/>
            <w:vAlign w:val="center"/>
            <w:tcMar>
              <w:top w:w="80" w:type="dxa"/>
              <w:start w:w="90" w:type="dxa"/>
              <w:bottom w:w="80" w:type="dxa"/>
              <w:end w:w="90" w:type="dxa"/>
            </w:tcMar>
          </w:tcPr>
          <w:p>
            <w:pPr>
              <w:spacing w:after="0"/>
            </w:pPr>
            <w:r/>
            <w:r>
              <w:rPr>
                <w:rFonts w:ascii="Carlito" w:hAnsi="Carlito" w:eastAsia="Carlito"/>
                <w:b w:val="0"/>
                <w:color w:val="243447"/>
                <w:sz w:val="16"/>
              </w:rPr>
              <w:t>Marge correcte sur cas manuel</w:t>
            </w:r>
          </w:p>
        </w:tc>
      </w:tr>
      <w:tr>
        <w:tc>
          <w:tcPr>
            <w:tcW w:type="dxa" w:w="1531"/>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VAL-PMP-008</w:t>
            </w:r>
          </w:p>
        </w:tc>
        <w:tc>
          <w:tcPr>
            <w:tcW w:type="dxa" w:w="4082"/>
            <w:vAlign w:val="center"/>
            <w:tcMar>
              <w:top w:w="80" w:type="dxa"/>
              <w:start w:w="90" w:type="dxa"/>
              <w:bottom w:w="80" w:type="dxa"/>
              <w:end w:w="90" w:type="dxa"/>
            </w:tcMar>
            <w:shd w:fill="F2F2F2"/>
          </w:tcPr>
          <w:p>
            <w:pPr>
              <w:spacing w:after="0"/>
            </w:pPr>
            <w:r/>
            <w:r>
              <w:rPr>
                <w:rFonts w:ascii="Carlito" w:hAnsi="Carlito" w:eastAsia="Carlito"/>
                <w:b w:val="0"/>
                <w:color w:val="243447"/>
                <w:sz w:val="16"/>
              </w:rPr>
              <w:t>Puissance/rendement</w:t>
            </w:r>
          </w:p>
        </w:tc>
        <w:tc>
          <w:tcPr>
            <w:tcW w:type="dxa" w:w="3798"/>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Comparaison fiche constructeur</w:t>
            </w:r>
          </w:p>
        </w:tc>
      </w:tr>
    </w:tbl>
    <w:p>
      <w:pPr>
        <w:spacing w:after="40"/>
      </w:pPr>
    </w:p>
    <w:p>
      <w:pPr>
        <w:pStyle w:val="Heading1"/>
      </w:pPr>
      <w:r>
        <w:t>7. Validation des zones gravitaires</w:t>
      </w:r>
    </w:p>
    <w:p>
      <w:pPr>
        <w:pStyle w:val="ListBullet"/>
      </w:pPr>
      <w:r>
        <w:t>Cas sans zone gravitaire : aucune fausse détection.</w:t>
      </w:r>
    </w:p>
    <w:p>
      <w:pPr>
        <w:pStyle w:val="ListBullet"/>
      </w:pPr>
      <w:r>
        <w:t>Cas avec sommet de profil et pression atteignant la pression de vapeur.</w:t>
      </w:r>
    </w:p>
    <w:p>
      <w:pPr>
        <w:pStyle w:val="ListBullet"/>
      </w:pPr>
      <w:r>
        <w:t>Sensibilité au maillage et à l’interpolation du profil.</w:t>
      </w:r>
    </w:p>
    <w:p>
      <w:pPr>
        <w:pStyle w:val="ListBullet"/>
      </w:pPr>
      <w:r>
        <w:t>Localisation x* comparée au calcul géométrique du support fourni.</w:t>
      </w:r>
    </w:p>
    <w:p>
      <w:pPr>
        <w:pStyle w:val="ListBullet"/>
      </w:pPr>
      <w:r>
        <w:t>Vérification du degré de remplissage si le modèle est activé.</w:t>
      </w:r>
    </w:p>
    <w:p>
      <w:pPr>
        <w:pStyle w:val="ListBullet"/>
      </w:pPr>
      <w:r>
        <w:t>Cas où le modèle n’est pas applicable : avertissement et absence de conclusion industrielle.</w:t>
      </w:r>
    </w:p>
    <w:p>
      <w:pPr>
        <w:pStyle w:val="Heading1"/>
      </w:pPr>
      <w:r>
        <w:t>8. Validation réservoirs et transferts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587"/>
            <w:vAlign w:val="center"/>
            <w:tcMar>
              <w:top w:w="80" w:type="dxa"/>
              <w:start w:w="90" w:type="dxa"/>
              <w:bottom w:w="80" w:type="dxa"/>
              <w:end w:w="90" w:type="dxa"/>
            </w:tcMar>
            <w:shd w:fill="17365D"/>
          </w:tcPr>
          <w:p>
            <w:pPr>
              <w:spacing w:after="0"/>
            </w:pPr>
            <w:r/>
            <w:r>
              <w:rPr>
                <w:rFonts w:ascii="Carlito" w:hAnsi="Carlito" w:eastAsia="Carlito"/>
                <w:b/>
                <w:color w:val="FFFFFF"/>
                <w:sz w:val="16"/>
              </w:rPr>
              <w:t>ID</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Cas</w:t>
            </w:r>
          </w:p>
        </w:tc>
        <w:tc>
          <w:tcPr>
            <w:tcW w:type="dxa" w:w="3855"/>
            <w:vAlign w:val="center"/>
            <w:tcMar>
              <w:top w:w="80" w:type="dxa"/>
              <w:start w:w="90" w:type="dxa"/>
              <w:bottom w:w="80" w:type="dxa"/>
              <w:end w:w="90" w:type="dxa"/>
            </w:tcMar>
            <w:shd w:fill="17365D"/>
          </w:tcPr>
          <w:p>
            <w:pPr>
              <w:spacing w:after="0"/>
            </w:pPr>
            <w:r/>
            <w:r>
              <w:rPr>
                <w:rFonts w:ascii="Carlito" w:hAnsi="Carlito" w:eastAsia="Carlito"/>
                <w:b/>
                <w:color w:val="FFFFFF"/>
                <w:sz w:val="16"/>
              </w:rPr>
              <w:t>Attendus</w:t>
            </w:r>
          </w:p>
        </w:tc>
      </w:tr>
      <w:tr>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VAL-TNK-003</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Interpolation d’un barémage non linéaire</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Monotonie et inversion h(V)</w:t>
            </w:r>
          </w:p>
        </w:tc>
      </w:tr>
      <w:tr>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6"/>
              </w:rPr>
              <w:t>VAL-TNK-004</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Transfert avec niveaux variables</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Conservation de volume et durée</w:t>
            </w:r>
          </w:p>
        </w:tc>
      </w:tr>
      <w:tr>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VAL-TNK-005</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Pompe + lignes aspiration/refoulement</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Point de fonctionnement manuel</w:t>
            </w:r>
          </w:p>
        </w:tc>
      </w:tr>
      <w:tr>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6"/>
              </w:rPr>
              <w:t>VAL-TNK-006</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Arrêt au niveau haut</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Événement au pas de temps interpolé</w:t>
            </w:r>
          </w:p>
        </w:tc>
      </w:tr>
      <w:tr>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VAL-TNK-007</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Capacité insuffisante</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Scénario déclaré non faisable avant démarrage</w:t>
            </w:r>
          </w:p>
        </w:tc>
      </w:tr>
      <w:tr>
        <w:tc>
          <w:tcPr>
            <w:tcW w:type="dxa" w:w="1587"/>
            <w:vAlign w:val="center"/>
            <w:tcMar>
              <w:top w:w="80" w:type="dxa"/>
              <w:start w:w="90" w:type="dxa"/>
              <w:bottom w:w="80" w:type="dxa"/>
              <w:end w:w="90" w:type="dxa"/>
            </w:tcMar>
          </w:tcPr>
          <w:p>
            <w:pPr>
              <w:spacing w:after="0"/>
            </w:pPr>
            <w:r/>
            <w:r>
              <w:rPr>
                <w:rFonts w:ascii="Carlito" w:hAnsi="Carlito" w:eastAsia="Carlito"/>
                <w:b w:val="0"/>
                <w:color w:val="243447"/>
                <w:sz w:val="16"/>
              </w:rPr>
              <w:t>VAL-TNK-008</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Bilan matière avec incertitudes</w:t>
            </w:r>
          </w:p>
        </w:tc>
        <w:tc>
          <w:tcPr>
            <w:tcW w:type="dxa" w:w="3855"/>
            <w:vAlign w:val="center"/>
            <w:tcMar>
              <w:top w:w="80" w:type="dxa"/>
              <w:start w:w="90" w:type="dxa"/>
              <w:bottom w:w="80" w:type="dxa"/>
              <w:end w:w="90" w:type="dxa"/>
            </w:tcMar>
          </w:tcPr>
          <w:p>
            <w:pPr>
              <w:spacing w:after="0"/>
            </w:pPr>
            <w:r/>
            <w:r>
              <w:rPr>
                <w:rFonts w:ascii="Carlito" w:hAnsi="Carlito" w:eastAsia="Carlito"/>
                <w:b w:val="0"/>
                <w:color w:val="243447"/>
                <w:sz w:val="16"/>
              </w:rPr>
              <w:t>Écart et intervalle calculés</w:t>
            </w:r>
          </w:p>
        </w:tc>
      </w:tr>
      <w:tr>
        <w:tc>
          <w:tcPr>
            <w:tcW w:type="dxa" w:w="1587"/>
            <w:vAlign w:val="center"/>
            <w:tcMar>
              <w:top w:w="80" w:type="dxa"/>
              <w:start w:w="90" w:type="dxa"/>
              <w:bottom w:w="80" w:type="dxa"/>
              <w:end w:w="90" w:type="dxa"/>
            </w:tcMar>
            <w:shd w:fill="F2F2F2"/>
          </w:tcPr>
          <w:p>
            <w:pPr>
              <w:spacing w:after="0"/>
            </w:pPr>
            <w:r/>
            <w:r>
              <w:rPr>
                <w:rFonts w:ascii="Carlito" w:hAnsi="Carlito" w:eastAsia="Carlito"/>
                <w:b w:val="0"/>
                <w:color w:val="243447"/>
                <w:sz w:val="16"/>
              </w:rPr>
              <w:t>VAL-TNK-009</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Deux chemins de transfert</w:t>
            </w:r>
          </w:p>
        </w:tc>
        <w:tc>
          <w:tcPr>
            <w:tcW w:type="dxa" w:w="3855"/>
            <w:vAlign w:val="center"/>
            <w:tcMar>
              <w:top w:w="80" w:type="dxa"/>
              <w:start w:w="90" w:type="dxa"/>
              <w:bottom w:w="80" w:type="dxa"/>
              <w:end w:w="90" w:type="dxa"/>
            </w:tcMar>
            <w:shd w:fill="F2F2F2"/>
          </w:tcPr>
          <w:p>
            <w:pPr>
              <w:spacing w:after="0"/>
            </w:pPr>
            <w:r/>
            <w:r>
              <w:rPr>
                <w:rFonts w:ascii="Carlito" w:hAnsi="Carlito" w:eastAsia="Carlito"/>
                <w:b w:val="0"/>
                <w:color w:val="243447"/>
                <w:sz w:val="16"/>
              </w:rPr>
              <w:t>Choix cohérent avec pertes/contraintes</w:t>
            </w:r>
          </w:p>
        </w:tc>
      </w:tr>
    </w:tbl>
    <w:p>
      <w:pPr>
        <w:spacing w:after="40"/>
      </w:pPr>
    </w:p>
    <w:p>
      <w:pPr>
        <w:pStyle w:val="Heading1"/>
      </w:pPr>
      <w:r>
        <w:t>9. Validation de l’optimisation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3402"/>
            <w:vAlign w:val="center"/>
            <w:tcMar>
              <w:top w:w="80" w:type="dxa"/>
              <w:start w:w="90" w:type="dxa"/>
              <w:bottom w:w="80" w:type="dxa"/>
              <w:end w:w="90" w:type="dxa"/>
            </w:tcMar>
            <w:shd w:fill="17365D"/>
          </w:tcPr>
          <w:p>
            <w:pPr>
              <w:spacing w:after="0"/>
            </w:pPr>
            <w:r/>
            <w:r>
              <w:rPr>
                <w:rFonts w:ascii="Carlito" w:hAnsi="Carlito" w:eastAsia="Carlito"/>
                <w:b/>
                <w:color w:val="FFFFFF"/>
                <w:sz w:val="16"/>
              </w:rPr>
              <w:t>Cas</w:t>
            </w:r>
          </w:p>
        </w:tc>
        <w:tc>
          <w:tcPr>
            <w:tcW w:type="dxa" w:w="6009"/>
            <w:vAlign w:val="center"/>
            <w:tcMar>
              <w:top w:w="80" w:type="dxa"/>
              <w:start w:w="90" w:type="dxa"/>
              <w:bottom w:w="80" w:type="dxa"/>
              <w:end w:w="90" w:type="dxa"/>
            </w:tcMar>
            <w:shd w:fill="17365D"/>
          </w:tcPr>
          <w:p>
            <w:pPr>
              <w:spacing w:after="0"/>
            </w:pPr>
            <w:r/>
            <w:r>
              <w:rPr>
                <w:rFonts w:ascii="Carlito" w:hAnsi="Carlito" w:eastAsia="Carlito"/>
                <w:b/>
                <w:color w:val="FFFFFF"/>
                <w:sz w:val="16"/>
              </w:rPr>
              <w:t>Méthode de preuve</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Petit ensemble de 2 à 6 pompes</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Énumérer exhaustivement et comparer le choix de l’optimiseur.</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Contraintes incompatibles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Vérifier diagnostic d’infaisabilité.</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Tarif énergétique variable</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Comparer solution à une règle heuristique.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Objectifs pondérés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Test de sensibilité aux poids.</w:t>
            </w:r>
          </w:p>
        </w:tc>
      </w:tr>
      <w:tr>
        <w:tc>
          <w:tcPr>
            <w:tcW w:type="dxa" w:w="3402"/>
            <w:vAlign w:val="center"/>
            <w:tcMar>
              <w:top w:w="80" w:type="dxa"/>
              <w:start w:w="90" w:type="dxa"/>
              <w:bottom w:w="80" w:type="dxa"/>
              <w:end w:w="90" w:type="dxa"/>
            </w:tcMar>
            <w:shd w:fill="F2F2F2"/>
          </w:tcPr>
          <w:p>
            <w:pPr>
              <w:spacing w:after="0"/>
            </w:pPr>
            <w:r/>
            <w:r>
              <w:rPr>
                <w:rFonts w:ascii="Carlito" w:hAnsi="Carlito" w:eastAsia="Carlito"/>
                <w:b w:val="0"/>
                <w:color w:val="243447"/>
                <w:sz w:val="16"/>
              </w:rPr>
              <w:t>Solveur arrêté avant optimum</w:t>
            </w:r>
          </w:p>
        </w:tc>
        <w:tc>
          <w:tcPr>
            <w:tcW w:type="dxa" w:w="6009"/>
            <w:vAlign w:val="center"/>
            <w:tcMar>
              <w:top w:w="80" w:type="dxa"/>
              <w:start w:w="90" w:type="dxa"/>
              <w:bottom w:w="80" w:type="dxa"/>
              <w:end w:w="90" w:type="dxa"/>
            </w:tcMar>
            <w:shd w:fill="F2F2F2"/>
          </w:tcPr>
          <w:p>
            <w:pPr>
              <w:spacing w:after="0"/>
            </w:pPr>
            <w:r/>
            <w:r>
              <w:rPr>
                <w:rFonts w:ascii="Carlito" w:hAnsi="Carlito" w:eastAsia="Carlito"/>
                <w:b w:val="0"/>
                <w:color w:val="243447"/>
                <w:sz w:val="16"/>
              </w:rPr>
              <w:t>Afficher gap, statut et meilleure solution faisable.</w:t>
            </w:r>
          </w:p>
        </w:tc>
      </w:tr>
      <w:tr>
        <w:tc>
          <w:tcPr>
            <w:tcW w:type="dxa" w:w="3402"/>
            <w:vAlign w:val="center"/>
            <w:tcMar>
              <w:top w:w="80" w:type="dxa"/>
              <w:start w:w="90" w:type="dxa"/>
              <w:bottom w:w="80" w:type="dxa"/>
              <w:end w:w="90" w:type="dxa"/>
            </w:tcMar>
          </w:tcPr>
          <w:p>
            <w:pPr>
              <w:spacing w:after="0"/>
            </w:pPr>
            <w:r/>
            <w:r>
              <w:rPr>
                <w:rFonts w:ascii="Carlito" w:hAnsi="Carlito" w:eastAsia="Carlito"/>
                <w:b w:val="0"/>
                <w:color w:val="243447"/>
                <w:sz w:val="16"/>
              </w:rPr>
              <w:t>Données identiques</w:t>
            </w:r>
          </w:p>
        </w:tc>
        <w:tc>
          <w:tcPr>
            <w:tcW w:type="dxa" w:w="6009"/>
            <w:vAlign w:val="center"/>
            <w:tcMar>
              <w:top w:w="80" w:type="dxa"/>
              <w:start w:w="90" w:type="dxa"/>
              <w:bottom w:w="80" w:type="dxa"/>
              <w:end w:w="90" w:type="dxa"/>
            </w:tcMar>
          </w:tcPr>
          <w:p>
            <w:pPr>
              <w:spacing w:after="0"/>
            </w:pPr>
            <w:r/>
            <w:r>
              <w:rPr>
                <w:rFonts w:ascii="Carlito" w:hAnsi="Carlito" w:eastAsia="Carlito"/>
                <w:b w:val="0"/>
                <w:color w:val="243447"/>
                <w:sz w:val="16"/>
              </w:rPr>
              <w:t>Répéter et obtenir le même résultat.</w:t>
            </w:r>
          </w:p>
        </w:tc>
      </w:tr>
    </w:tbl>
    <w:p>
      <w:pPr>
        <w:spacing w:after="40"/>
      </w:pPr>
    </w:p>
    <w:p>
      <w:pPr>
        <w:pStyle w:val="Heading1"/>
      </w:pPr>
      <w:r>
        <w:t>10. Gaz et transitoires - plan futur</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38"/>
            <w:vAlign w:val="center"/>
            <w:tcMar>
              <w:top w:w="80" w:type="dxa"/>
              <w:start w:w="90" w:type="dxa"/>
              <w:bottom w:w="80" w:type="dxa"/>
              <w:end w:w="90" w:type="dxa"/>
            </w:tcMar>
            <w:shd w:fill="17365D"/>
          </w:tcPr>
          <w:p>
            <w:pPr>
              <w:spacing w:after="0"/>
            </w:pPr>
            <w:r/>
            <w:r>
              <w:rPr>
                <w:rFonts w:ascii="Carlito" w:hAnsi="Carlito" w:eastAsia="Carlito"/>
                <w:b/>
                <w:color w:val="FFFFFF"/>
                <w:sz w:val="16"/>
              </w:rPr>
              <w:t>Domaine</w:t>
            </w:r>
          </w:p>
        </w:tc>
        <w:tc>
          <w:tcPr>
            <w:tcW w:type="dxa" w:w="6973"/>
            <w:vAlign w:val="center"/>
            <w:tcMar>
              <w:top w:w="80" w:type="dxa"/>
              <w:start w:w="90" w:type="dxa"/>
              <w:bottom w:w="80" w:type="dxa"/>
              <w:end w:w="90" w:type="dxa"/>
            </w:tcMar>
            <w:shd w:fill="17365D"/>
          </w:tcPr>
          <w:p>
            <w:pPr>
              <w:spacing w:after="0"/>
            </w:pPr>
            <w:r/>
            <w:r>
              <w:rPr>
                <w:rFonts w:ascii="Carlito" w:hAnsi="Carlito" w:eastAsia="Carlito"/>
                <w:b/>
                <w:color w:val="FFFFFF"/>
                <w:sz w:val="16"/>
              </w:rPr>
              <w:t>Benchmarks requis</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Gaz stationnaire</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Réseau simple analytique, exemples GasModels/pandapipes, comparaison à logiciel industriel si accessible.</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Compresseur</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Point de carte, lois de similitude, limites anti-surge.</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Line-pack</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Bilan d’inventaire sur conduite uniforme et variation de pression.</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Coup de bélier</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Joukowsky, fermeture instantanée, réservoir amont/aval, valve.</w:t>
            </w:r>
          </w:p>
        </w:tc>
      </w:tr>
      <w:tr>
        <w:tc>
          <w:tcPr>
            <w:tcW w:type="dxa" w:w="2438"/>
            <w:vAlign w:val="center"/>
            <w:tcMar>
              <w:top w:w="80" w:type="dxa"/>
              <w:start w:w="90" w:type="dxa"/>
              <w:bottom w:w="80" w:type="dxa"/>
              <w:end w:w="90" w:type="dxa"/>
            </w:tcMar>
            <w:shd w:fill="F2F2F2"/>
          </w:tcPr>
          <w:p>
            <w:pPr>
              <w:spacing w:after="0"/>
            </w:pPr>
            <w:r/>
            <w:r>
              <w:rPr>
                <w:rFonts w:ascii="Carlito" w:hAnsi="Carlito" w:eastAsia="Carlito"/>
                <w:b w:val="0"/>
                <w:color w:val="243447"/>
                <w:sz w:val="16"/>
              </w:rPr>
              <w:t>MOC</w:t>
            </w:r>
          </w:p>
        </w:tc>
        <w:tc>
          <w:tcPr>
            <w:tcW w:type="dxa" w:w="6973"/>
            <w:vAlign w:val="center"/>
            <w:tcMar>
              <w:top w:w="80" w:type="dxa"/>
              <w:start w:w="90" w:type="dxa"/>
              <w:bottom w:w="80" w:type="dxa"/>
              <w:end w:w="90" w:type="dxa"/>
            </w:tcMar>
            <w:shd w:fill="F2F2F2"/>
          </w:tcPr>
          <w:p>
            <w:pPr>
              <w:spacing w:after="0"/>
            </w:pPr>
            <w:r/>
            <w:r>
              <w:rPr>
                <w:rFonts w:ascii="Carlito" w:hAnsi="Carlito" w:eastAsia="Carlito"/>
                <w:b w:val="0"/>
                <w:color w:val="243447"/>
                <w:sz w:val="16"/>
              </w:rPr>
              <w:t>Convergence maillage/pas de temps et comparaison publication.</w:t>
            </w:r>
          </w:p>
        </w:tc>
      </w:tr>
      <w:tr>
        <w:tc>
          <w:tcPr>
            <w:tcW w:type="dxa" w:w="2438"/>
            <w:vAlign w:val="center"/>
            <w:tcMar>
              <w:top w:w="80" w:type="dxa"/>
              <w:start w:w="90" w:type="dxa"/>
              <w:bottom w:w="80" w:type="dxa"/>
              <w:end w:w="90" w:type="dxa"/>
            </w:tcMar>
          </w:tcPr>
          <w:p>
            <w:pPr>
              <w:spacing w:after="0"/>
            </w:pPr>
            <w:r/>
            <w:r>
              <w:rPr>
                <w:rFonts w:ascii="Carlito" w:hAnsi="Carlito" w:eastAsia="Carlito"/>
                <w:b w:val="0"/>
                <w:color w:val="243447"/>
                <w:sz w:val="16"/>
              </w:rPr>
              <w:t>Séparation de colonne</w:t>
            </w:r>
          </w:p>
        </w:tc>
        <w:tc>
          <w:tcPr>
            <w:tcW w:type="dxa" w:w="6973"/>
            <w:vAlign w:val="center"/>
            <w:tcMar>
              <w:top w:w="80" w:type="dxa"/>
              <w:start w:w="90" w:type="dxa"/>
              <w:bottom w:w="80" w:type="dxa"/>
              <w:end w:w="90" w:type="dxa"/>
            </w:tcMar>
          </w:tcPr>
          <w:p>
            <w:pPr>
              <w:spacing w:after="0"/>
            </w:pPr>
            <w:r/>
            <w:r>
              <w:rPr>
                <w:rFonts w:ascii="Carlito" w:hAnsi="Carlito" w:eastAsia="Carlito"/>
                <w:b w:val="0"/>
                <w:color w:val="243447"/>
                <w:sz w:val="16"/>
              </w:rPr>
              <w:t>Benchmark spécialisé avant activation industrielle.</w:t>
            </w:r>
          </w:p>
        </w:tc>
      </w:tr>
    </w:tbl>
    <w:p>
      <w:pPr>
        <w:spacing w:after="40"/>
      </w:pPr>
    </w:p>
    <w:p>
      <w:pPr>
        <w:pStyle w:val="Heading1"/>
      </w:pPr>
      <w:r>
        <w:t>11. Comparaison avec logiciels et projets tiers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Outil</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6"/>
              </w:rPr>
              <w:t>Usage de validation</w:t>
            </w:r>
          </w:p>
        </w:tc>
        <w:tc>
          <w:tcPr>
            <w:tcW w:type="dxa" w:w="3175"/>
            <w:vAlign w:val="center"/>
            <w:tcMar>
              <w:top w:w="80" w:type="dxa"/>
              <w:start w:w="90" w:type="dxa"/>
              <w:bottom w:w="80" w:type="dxa"/>
              <w:end w:w="90" w:type="dxa"/>
            </w:tcMar>
            <w:shd w:fill="17365D"/>
          </w:tcPr>
          <w:p>
            <w:pPr>
              <w:spacing w:after="0"/>
            </w:pPr>
            <w:r/>
            <w:r>
              <w:rPr>
                <w:rFonts w:ascii="Carlito" w:hAnsi="Carlito" w:eastAsia="Carlito"/>
                <w:b/>
                <w:color w:val="FFFFFF"/>
                <w:sz w:val="16"/>
              </w:rPr>
              <w:t>Limite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fluids/SciPy</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Fonctions de base et racines</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Pas un solveur de pipeline complet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pandapipes</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Réseaux simples gaz/liquide</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Domaine différent de l’oléoduc multiproduit</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OpenModelica/Modelica.Fluid</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Dynamiques et composants</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Modèles à aligner exactement</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DWSIM</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Thermodynamique/équipements de terminal</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Licence et périmètre procédé</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GasModels.jl</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6"/>
              </w:rPr>
              <w:t>Optimisation de réseaux gaziers</w:t>
            </w:r>
          </w:p>
        </w:tc>
        <w:tc>
          <w:tcPr>
            <w:tcW w:type="dxa" w:w="3175"/>
            <w:vAlign w:val="center"/>
            <w:tcMar>
              <w:top w:w="80" w:type="dxa"/>
              <w:start w:w="90" w:type="dxa"/>
              <w:bottom w:w="80" w:type="dxa"/>
              <w:end w:w="90" w:type="dxa"/>
            </w:tcMar>
            <w:shd w:fill="F2F2F2"/>
          </w:tcPr>
          <w:p>
            <w:pPr>
              <w:spacing w:after="0"/>
            </w:pPr>
            <w:r/>
            <w:r>
              <w:rPr>
                <w:rFonts w:ascii="Carlito" w:hAnsi="Carlito" w:eastAsia="Carlito"/>
                <w:b w:val="0"/>
                <w:color w:val="243447"/>
                <w:sz w:val="16"/>
              </w:rPr>
              <w:t>Service futur, formulations spécifiques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Logiciel industriel partenaire</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6"/>
              </w:rPr>
              <w:t>Référence site</w:t>
            </w:r>
          </w:p>
        </w:tc>
        <w:tc>
          <w:tcPr>
            <w:tcW w:type="dxa" w:w="3175"/>
            <w:vAlign w:val="center"/>
            <w:tcMar>
              <w:top w:w="80" w:type="dxa"/>
              <w:start w:w="90" w:type="dxa"/>
              <w:bottom w:w="80" w:type="dxa"/>
              <w:end w:w="90" w:type="dxa"/>
            </w:tcMar>
          </w:tcPr>
          <w:p>
            <w:pPr>
              <w:spacing w:after="0"/>
            </w:pPr>
            <w:r/>
            <w:r>
              <w:rPr>
                <w:rFonts w:ascii="Carlito" w:hAnsi="Carlito" w:eastAsia="Carlito"/>
                <w:b w:val="0"/>
                <w:color w:val="243447"/>
                <w:sz w:val="16"/>
              </w:rPr>
              <w:t>Données et licence nécessaires</w:t>
            </w:r>
          </w:p>
        </w:tc>
      </w:tr>
    </w:tbl>
    <w:p>
      <w:pPr>
        <w:spacing w:after="40"/>
      </w:pPr>
    </w:p>
    <w:p>
      <w:pPr>
        <w:pStyle w:val="Heading1"/>
      </w:pPr>
      <w:r>
        <w:t>12. Gestion des écarts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7"/>
              </w:rPr>
              <w:t>Classe</w:t>
            </w:r>
          </w:p>
        </w:tc>
        <w:tc>
          <w:tcPr>
            <w:tcW w:type="dxa" w:w="7143"/>
            <w:vAlign w:val="center"/>
            <w:tcMar>
              <w:top w:w="80" w:type="dxa"/>
              <w:start w:w="90" w:type="dxa"/>
              <w:bottom w:w="80" w:type="dxa"/>
              <w:end w:w="90" w:type="dxa"/>
            </w:tcMar>
            <w:shd w:fill="17365D"/>
          </w:tcPr>
          <w:p>
            <w:pPr>
              <w:spacing w:after="0"/>
            </w:pPr>
            <w:r/>
            <w:r>
              <w:rPr>
                <w:rFonts w:ascii="Carlito" w:hAnsi="Carlito" w:eastAsia="Carlito"/>
                <w:b/>
                <w:color w:val="FFFFFF"/>
                <w:sz w:val="17"/>
              </w:rPr>
              <w:t>Décision</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A - Conforme</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Sous tolérance ; test automatisé accepté.</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B - Écart expliqué</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Différence de méthode/corrélation documentée et approuvée.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C - Défaut logiciel</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Ticket bloquant selon impact ; correction et test de non-régression.</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7"/>
              </w:rPr>
              <w:t>D - Référence douteuse</w:t>
            </w:r>
          </w:p>
        </w:tc>
        <w:tc>
          <w:tcPr>
            <w:tcW w:type="dxa" w:w="7143"/>
            <w:vAlign w:val="center"/>
            <w:tcMar>
              <w:top w:w="80" w:type="dxa"/>
              <w:start w:w="90" w:type="dxa"/>
              <w:bottom w:w="80" w:type="dxa"/>
              <w:end w:w="90" w:type="dxa"/>
            </w:tcMar>
          </w:tcPr>
          <w:p>
            <w:pPr>
              <w:spacing w:after="0"/>
            </w:pPr>
            <w:r/>
            <w:r>
              <w:rPr>
                <w:rFonts w:ascii="Carlito" w:hAnsi="Carlito" w:eastAsia="Carlito"/>
                <w:b w:val="0"/>
                <w:color w:val="243447"/>
                <w:sz w:val="17"/>
              </w:rPr>
              <w:t>Suspendre le cas, chercher une source indépendante.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7"/>
              </w:rPr>
              <w:t>E - Domaine non couvert</w:t>
            </w:r>
          </w:p>
        </w:tc>
        <w:tc>
          <w:tcPr>
            <w:tcW w:type="dxa" w:w="7143"/>
            <w:vAlign w:val="center"/>
            <w:tcMar>
              <w:top w:w="80" w:type="dxa"/>
              <w:start w:w="90" w:type="dxa"/>
              <w:bottom w:w="80" w:type="dxa"/>
              <w:end w:w="90" w:type="dxa"/>
            </w:tcMar>
            <w:shd w:fill="F2F2F2"/>
          </w:tcPr>
          <w:p>
            <w:pPr>
              <w:spacing w:after="0"/>
            </w:pPr>
            <w:r/>
            <w:r>
              <w:rPr>
                <w:rFonts w:ascii="Carlito" w:hAnsi="Carlito" w:eastAsia="Carlito"/>
                <w:b w:val="0"/>
                <w:color w:val="243447"/>
                <w:sz w:val="17"/>
              </w:rPr>
              <w:t>Afficher la limite et empêcher une conclusion approuvée.</w:t>
            </w:r>
          </w:p>
        </w:tc>
      </w:tr>
    </w:tbl>
    <w:p>
      <w:pPr>
        <w:spacing w:after="40"/>
      </w:pPr>
    </w:p>
    <w:p>
      <w:pPr>
        <w:pStyle w:val="Heading1"/>
      </w:pPr>
      <w:r>
        <w:t>13. Dossier de preuve</w:t>
      </w:r>
    </w:p>
    <w:p>
      <w:pPr>
        <w:pStyle w:val="ListBullet"/>
      </w:pPr>
      <w:r>
        <w:t>Description du cas, source et droits d’utilisation.</w:t>
      </w:r>
    </w:p>
    <w:p>
      <w:pPr>
        <w:pStyle w:val="ListBullet"/>
      </w:pPr>
      <w:r>
        <w:t>Jeu d’entrée immuable et checksum.</w:t>
      </w:r>
    </w:p>
    <w:p>
      <w:pPr>
        <w:pStyle w:val="ListBullet"/>
      </w:pPr>
      <w:r>
        <w:t>Résultats attendus avec unités et tolérances.</w:t>
      </w:r>
    </w:p>
    <w:p>
      <w:pPr>
        <w:pStyle w:val="ListBullet"/>
      </w:pPr>
      <w:r>
        <w:t>Version du code, dépendances, solveur et environnement.</w:t>
      </w:r>
    </w:p>
    <w:p>
      <w:pPr>
        <w:pStyle w:val="ListBullet"/>
      </w:pPr>
      <w:r>
        <w:t>Résultat réel, erreur, statut et journal.</w:t>
      </w:r>
    </w:p>
    <w:p>
      <w:pPr>
        <w:pStyle w:val="ListBullet"/>
      </w:pPr>
      <w:r>
        <w:t>Revue et approbation par un ingénieur métier.</w:t>
      </w:r>
    </w:p>
    <w:p>
      <w:pPr>
        <w:pStyle w:val="ListBullet"/>
      </w:pPr>
      <w:r>
        <w:t>Historique des changements du cas et des tolérances.</w:t>
      </w:r>
    </w:p>
    <w:p>
      <w:pPr>
        <w:pStyle w:val="ListBullet"/>
      </w:pPr>
      <w:r>
        <w:t>Rapport consolidé par version du produit.</w:t>
      </w:r>
    </w:p>
    <w:p>
      <w:pPr>
        <w:pStyle w:val="Heading1"/>
      </w:pPr>
      <w:r>
        <w:t>Sources et références</w:t>
      </w:r>
    </w:p>
    <w:p>
      <w:pPr>
        <w:pStyle w:val="ListBullet"/>
      </w:pPr>
      <w:r>
        <w:t>Documents académiques et programme Python transmis par l’utilisateur.</w:t>
      </w:r>
    </w:p>
    <w:p>
      <w:pPr>
        <w:pStyle w:val="ListBullet"/>
      </w:pPr>
      <w:r>
        <w:t>Cas analytiques dérivés des équations de D07.</w:t>
      </w:r>
    </w:p>
    <w:p>
      <w:pPr>
        <w:pStyle w:val="ListBullet"/>
      </w:pPr>
      <w:r>
        <w:t>Standards et guides de D08, sans reproduction de leur contenu protégé.</w:t>
      </w:r>
    </w:p>
    <w:p>
      <w:pPr>
        <w:pStyle w:val="ListBullet"/>
      </w:pPr>
      <w:r>
        <w:t>Projets open source et logiciels comparatifs décrits dans D14.</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D10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validation scientifique</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