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D14</w:t>
      </w:r>
    </w:p>
    <w:p>
      <w:pPr>
        <w:spacing w:before="160"/>
        <w:jc w:val="center"/>
      </w:pPr>
      <w:r>
        <w:rPr>
          <w:rFonts w:ascii="Liberation Sans" w:hAnsi="Liberation Sans"/>
          <w:b/>
          <w:color w:val="17365D"/>
          <w:sz w:val="52"/>
        </w:rPr>
        <w:t>Stratégie open source et licences</w:t>
      </w:r>
    </w:p>
    <w:p>
      <w:pPr>
        <w:spacing w:before="200"/>
        <w:jc w:val="center"/>
      </w:pPr>
      <w:r>
        <w:rPr>
          <w:rFonts w:ascii="Carlito" w:hAnsi="Carlito"/>
          <w:i/>
          <w:color w:val="243447"/>
          <w:sz w:val="25"/>
        </w:rPr>
        <w:t>Composants retenus, usages, limites, licences et plan d’audit</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D14</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w:t>
      </w:r>
    </w:p>
    <w:p>
      <w:pPr>
        <w:pStyle w:val="ListNumber"/>
      </w:pPr>
      <w:r>
        <w:t>Stack cœur</w:t>
      </w:r>
    </w:p>
    <w:p>
      <w:pPr>
        <w:pStyle w:val="ListNumber"/>
      </w:pPr>
      <w:r>
        <w:t>Moteurs scientifiques</w:t>
      </w:r>
    </w:p>
    <w:p>
      <w:pPr>
        <w:pStyle w:val="ListNumber"/>
      </w:pPr>
      <w:r>
        <w:t>Gaz et transitoires</w:t>
      </w:r>
    </w:p>
    <w:p>
      <w:pPr>
        <w:pStyle w:val="ListNumber"/>
      </w:pPr>
      <w:r>
        <w:t>Données industrielles</w:t>
      </w:r>
    </w:p>
    <w:p>
      <w:pPr>
        <w:pStyle w:val="ListNumber"/>
      </w:pPr>
      <w:r>
        <w:t>Comparaison</w:t>
      </w:r>
    </w:p>
    <w:p>
      <w:pPr>
        <w:pStyle w:val="ListNumber"/>
      </w:pPr>
      <w:r>
        <w:t>Matrice licences</w:t>
      </w:r>
    </w:p>
    <w:p>
      <w:pPr>
        <w:pStyle w:val="ListNumber"/>
      </w:pPr>
      <w:r>
        <w:t>Critères d’adoption</w:t>
      </w:r>
    </w:p>
    <w:p>
      <w:pPr>
        <w:pStyle w:val="ListNumber"/>
      </w:pPr>
      <w:r>
        <w:t>POC</w:t>
      </w:r>
    </w:p>
    <w:p>
      <w:pPr>
        <w:pStyle w:val="ListNumber"/>
      </w:pPr>
      <w:r>
        <w:t>Gouvernance</w:t>
      </w:r>
    </w:p>
    <w:p>
      <w:pPr>
        <w:pStyle w:val="ListNumber"/>
      </w:pPr>
      <w:r>
        <w:t>Plan de sortie</w:t>
      </w:r>
    </w:p>
    <w:p>
      <w:r>
        <w:rPr>
          <w:i/>
          <w:color w:val="6B7785"/>
          <w:sz w:val="17"/>
        </w:rPr>
        <w:t>La pagination peut évoluer après validation et mise en forme finale dans Microsoft Word ou LibreOffice.</w:t>
      </w:r>
    </w:p>
    <w:p>
      <w:r>
        <w:br w:type="page"/>
      </w:r>
    </w:p>
    <w:p>
      <w:pPr>
        <w:pStyle w:val="Heading1"/>
      </w:pPr>
      <w:r>
        <w:t>1. Principes</w:t>
      </w:r>
    </w:p>
    <w:p>
      <w:pPr>
        <w:pStyle w:val="ListBullet"/>
      </w:pPr>
      <w:r>
        <w:t>Ne pas repartir de zéro pour les fonctions mathématiques génériques, mais conserver la maîtrise du modèle métier.</w:t>
      </w:r>
    </w:p>
    <w:p>
      <w:pPr>
        <w:pStyle w:val="ListBullet"/>
      </w:pPr>
      <w:r>
        <w:t>Aucun projet open source unique ne couvre tout le produit ; l’architecture est fédérée et modulaire.</w:t>
      </w:r>
    </w:p>
    <w:p>
      <w:pPr>
        <w:pStyle w:val="ListBullet"/>
      </w:pPr>
      <w:r>
        <w:t>Privilégier licences permissives pour les bibliothèques embarquées.</w:t>
      </w:r>
    </w:p>
    <w:p>
      <w:pPr>
        <w:pStyle w:val="ListBullet"/>
      </w:pPr>
      <w:r>
        <w:t>Isoler les composants copyleft ou à licence complexe dans des processus/services après audit.</w:t>
      </w:r>
    </w:p>
    <w:p>
      <w:pPr>
        <w:pStyle w:val="ListBullet"/>
      </w:pPr>
      <w:r>
        <w:t>Geler les versions, vérifier les CVE et maintenir des cas de non-régression.</w:t>
      </w:r>
    </w:p>
    <w:p>
      <w:pPr>
        <w:pStyle w:val="ListBullet"/>
      </w:pPr>
      <w:r>
        <w:t>Prévoir une abstraction pour remplacer une dépendance critique.</w:t>
      </w:r>
    </w:p>
    <w:p>
      <w:pPr>
        <w:pStyle w:val="ListBullet"/>
      </w:pPr>
      <w:r>
        <w:t>Ne pas confondre code open source et validation industrielle.</w:t>
      </w:r>
    </w:p>
    <w:p>
      <w:pPr>
        <w:pStyle w:val="Heading1"/>
      </w:pPr>
      <w:r>
        <w:t>2. Stack cœur recommandée</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5"/>
              </w:rPr>
              <w:t>Projet</w:t>
            </w:r>
          </w:p>
        </w:tc>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5"/>
              </w:rPr>
              <w:t>Usage</w:t>
            </w:r>
          </w:p>
        </w:tc>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5"/>
              </w:rPr>
              <w:t>Licence connue</w:t>
            </w:r>
          </w:p>
        </w:tc>
        <w:tc>
          <w:tcPr>
            <w:tcW w:type="dxa" w:w="2211"/>
            <w:vAlign w:val="center"/>
            <w:tcMar>
              <w:top w:w="80" w:type="dxa"/>
              <w:start w:w="90" w:type="dxa"/>
              <w:bottom w:w="80" w:type="dxa"/>
              <w:end w:w="90" w:type="dxa"/>
            </w:tcMar>
            <w:shd w:fill="17365D"/>
          </w:tcPr>
          <w:p>
            <w:pPr>
              <w:spacing w:after="0"/>
            </w:pPr>
            <w:r/>
            <w:r>
              <w:rPr>
                <w:rFonts w:ascii="Carlito" w:hAnsi="Carlito" w:eastAsia="Carlito"/>
                <w:b/>
                <w:color w:val="FFFFFF"/>
                <w:sz w:val="15"/>
              </w:rPr>
              <w:t>Décision</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Python</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5"/>
              </w:rPr>
              <w:t>Langage principal</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PSF</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NumPy</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5"/>
              </w:rPr>
              <w:t>Calcul vectoriel</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BSD-3-Clause</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SciPy</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5"/>
              </w:rPr>
              <w:t>Solveurs et optimisation numérique</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BSD-3-Clause</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fluids</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5"/>
              </w:rPr>
              <w:t>Corrélations et composants de mécanique des fluides</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MIT</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5"/>
              </w:rPr>
              <w:t>Retenu avec tests</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CoolProp</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Propriétés thermophysiques de fluides couverts</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MIT</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Retenu via adapter</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Pyomo</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5"/>
              </w:rPr>
              <w:t>Modélisation d’optimisation</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BSD-3-Clause</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FastAPI</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5"/>
              </w:rPr>
              <w:t>API web</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MIT</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Pydantic</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5"/>
              </w:rPr>
              <w:t>Validation de données</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MIT</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SQLAlchemy/Alembic</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5"/>
              </w:rPr>
              <w:t>Persistance et migrations</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MIT</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PostgreSQL</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5"/>
              </w:rPr>
              <w:t>Base relationnelle</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PostgreSQL License</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PostGIS</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5"/>
              </w:rPr>
              <w:t>Données géospatiales</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GPL-2.0 ou ultérieure pour le projet serveur</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Retenu comme service base</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React</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5"/>
              </w:rPr>
              <w:t>Frontend</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MIT</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MapLibre GL JS</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5"/>
              </w:rPr>
              <w:t>Cartographie</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BSD-3-Clause</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Retenu</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Apache ECharts</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5"/>
              </w:rPr>
              <w:t>Graphiques</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Apache-2.0</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5"/>
              </w:rPr>
              <w:t>Retenu</w:t>
            </w:r>
          </w:p>
        </w:tc>
      </w:tr>
    </w:tbl>
    <w:p>
      <w:pPr>
        <w:spacing w:after="40"/>
      </w:pPr>
    </w:p>
    <w:p>
      <w:pPr>
        <w:pStyle w:val="Heading1"/>
      </w:pPr>
      <w:r>
        <w:t>3. Moteurs et bibliothèques scientifiques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6"/>
              </w:rPr>
              <w:t>Composant</w:t>
            </w:r>
          </w:p>
        </w:tc>
        <w:tc>
          <w:tcPr>
            <w:tcW w:type="dxa" w:w="3798"/>
            <w:vAlign w:val="center"/>
            <w:tcMar>
              <w:top w:w="80" w:type="dxa"/>
              <w:start w:w="90" w:type="dxa"/>
              <w:bottom w:w="80" w:type="dxa"/>
              <w:end w:w="90" w:type="dxa"/>
            </w:tcMar>
            <w:shd w:fill="17365D"/>
          </w:tcPr>
          <w:p>
            <w:pPr>
              <w:spacing w:after="0"/>
            </w:pPr>
            <w:r/>
            <w:r>
              <w:rPr>
                <w:rFonts w:ascii="Carlito" w:hAnsi="Carlito" w:eastAsia="Carlito"/>
                <w:b/>
                <w:color w:val="FFFFFF"/>
                <w:sz w:val="16"/>
              </w:rPr>
              <w:t>Apport</w:t>
            </w:r>
          </w:p>
        </w:tc>
        <w:tc>
          <w:tcPr>
            <w:tcW w:type="dxa" w:w="3628"/>
            <w:vAlign w:val="center"/>
            <w:tcMar>
              <w:top w:w="80" w:type="dxa"/>
              <w:start w:w="90" w:type="dxa"/>
              <w:bottom w:w="80" w:type="dxa"/>
              <w:end w:w="90" w:type="dxa"/>
            </w:tcMar>
            <w:shd w:fill="17365D"/>
          </w:tcPr>
          <w:p>
            <w:pPr>
              <w:spacing w:after="0"/>
            </w:pPr>
            <w:r/>
            <w:r>
              <w:rPr>
                <w:rFonts w:ascii="Carlito" w:hAnsi="Carlito" w:eastAsia="Carlito"/>
                <w:b/>
                <w:color w:val="FFFFFF"/>
                <w:sz w:val="16"/>
              </w:rPr>
              <w:t>Ce qui reste à développer</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fluids</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Frottement, raccords, vannes, écoulement compressible et utilitaires</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Solveur réseau, stations, scénarios, traçabilité, validation</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CoolProp</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Propriétés de fluides normalisés et équations d’état</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Base de produits pétroliers réels et données laboratoire</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SciPy</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Racines, optimisation, interpolation, intégration</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Formulation physique et diagnostics métier</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Pyomo</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NLP/MILP/MINLP et interface solveurs</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Modèles, linéarisation, contraintes et stratégie</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NetworkX optionnel</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Algorithmes de graphe</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Ne pas l’utiliser comme modèle persistant principal</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Polars/pandas</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Traitement tabulaire</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Gouvernance, mapping, qualité et volumétrie</w:t>
            </w:r>
          </w:p>
        </w:tc>
      </w:tr>
    </w:tbl>
    <w:p>
      <w:pPr>
        <w:spacing w:after="40"/>
      </w:pPr>
    </w:p>
    <w:p>
      <w:pPr>
        <w:pStyle w:val="Heading1"/>
      </w:pPr>
      <w:r>
        <w:t>4. Projets spécialisés gaz et réseau</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5"/>
              </w:rPr>
              <w:t>Projet</w:t>
            </w:r>
          </w:p>
        </w:tc>
        <w:tc>
          <w:tcPr>
            <w:tcW w:type="dxa" w:w="1531"/>
            <w:vAlign w:val="center"/>
            <w:tcMar>
              <w:top w:w="80" w:type="dxa"/>
              <w:start w:w="90" w:type="dxa"/>
              <w:bottom w:w="80" w:type="dxa"/>
              <w:end w:w="90" w:type="dxa"/>
            </w:tcMar>
            <w:shd w:fill="17365D"/>
          </w:tcPr>
          <w:p>
            <w:pPr>
              <w:spacing w:after="0"/>
            </w:pPr>
            <w:r/>
            <w:r>
              <w:rPr>
                <w:rFonts w:ascii="Carlito" w:hAnsi="Carlito" w:eastAsia="Carlito"/>
                <w:b/>
                <w:color w:val="FFFFFF"/>
                <w:sz w:val="15"/>
              </w:rPr>
              <w:t>Licence</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5"/>
              </w:rPr>
              <w:t>Usage proposé</w:t>
            </w:r>
          </w:p>
        </w:tc>
        <w:tc>
          <w:tcPr>
            <w:tcW w:type="dxa" w:w="2098"/>
            <w:vAlign w:val="center"/>
            <w:tcMar>
              <w:top w:w="80" w:type="dxa"/>
              <w:start w:w="90" w:type="dxa"/>
              <w:bottom w:w="80" w:type="dxa"/>
              <w:end w:w="90" w:type="dxa"/>
            </w:tcMar>
            <w:shd w:fill="17365D"/>
          </w:tcPr>
          <w:p>
            <w:pPr>
              <w:spacing w:after="0"/>
            </w:pPr>
            <w:r/>
            <w:r>
              <w:rPr>
                <w:rFonts w:ascii="Carlito" w:hAnsi="Carlito" w:eastAsia="Carlito"/>
                <w:b/>
                <w:color w:val="FFFFFF"/>
                <w:sz w:val="15"/>
              </w:rPr>
              <w:t>Décision</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GasModels.jl</w:t>
            </w:r>
          </w:p>
        </w:tc>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5"/>
              </w:rPr>
              <w:t>BSD</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Optimisation de réseaux de gaz et formulations de recherche</w:t>
            </w:r>
          </w:p>
        </w:tc>
        <w:tc>
          <w:tcPr>
            <w:tcW w:type="dxa" w:w="2098"/>
            <w:vAlign w:val="center"/>
            <w:tcMar>
              <w:top w:w="80" w:type="dxa"/>
              <w:start w:w="90" w:type="dxa"/>
              <w:bottom w:w="80" w:type="dxa"/>
              <w:end w:w="90" w:type="dxa"/>
            </w:tcMar>
            <w:shd w:fill="F2F2F2"/>
          </w:tcPr>
          <w:p>
            <w:pPr>
              <w:spacing w:after="0"/>
            </w:pPr>
            <w:r/>
            <w:r>
              <w:rPr>
                <w:rFonts w:ascii="Carlito" w:hAnsi="Carlito" w:eastAsia="Carlito"/>
                <w:b w:val="0"/>
                <w:color w:val="243447"/>
                <w:sz w:val="15"/>
              </w:rPr>
              <w:t>Service futur/benchmark</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JuMP</w:t>
            </w:r>
          </w:p>
        </w:tc>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5"/>
              </w:rPr>
              <w:t>MPL-2.0</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Modélisation optimisation Julia</w:t>
            </w:r>
          </w:p>
        </w:tc>
        <w:tc>
          <w:tcPr>
            <w:tcW w:type="dxa" w:w="2098"/>
            <w:vAlign w:val="center"/>
            <w:tcMar>
              <w:top w:w="80" w:type="dxa"/>
              <w:start w:w="90" w:type="dxa"/>
              <w:bottom w:w="80" w:type="dxa"/>
              <w:end w:w="90" w:type="dxa"/>
            </w:tcMar>
          </w:tcPr>
          <w:p>
            <w:pPr>
              <w:spacing w:after="0"/>
            </w:pPr>
            <w:r/>
            <w:r>
              <w:rPr>
                <w:rFonts w:ascii="Carlito" w:hAnsi="Carlito" w:eastAsia="Carlito"/>
                <w:b w:val="0"/>
                <w:color w:val="243447"/>
                <w:sz w:val="15"/>
              </w:rPr>
              <w:t>Dépendance de GasModels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pandapipes</w:t>
            </w:r>
          </w:p>
        </w:tc>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5"/>
              </w:rPr>
              <w:t>BSD</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Réseaux gaz/liquide simples et comparaison</w:t>
            </w:r>
          </w:p>
        </w:tc>
        <w:tc>
          <w:tcPr>
            <w:tcW w:type="dxa" w:w="2098"/>
            <w:vAlign w:val="center"/>
            <w:tcMar>
              <w:top w:w="80" w:type="dxa"/>
              <w:start w:w="90" w:type="dxa"/>
              <w:bottom w:w="80" w:type="dxa"/>
              <w:end w:w="90" w:type="dxa"/>
            </w:tcMar>
            <w:shd w:fill="F2F2F2"/>
          </w:tcPr>
          <w:p>
            <w:pPr>
              <w:spacing w:after="0"/>
            </w:pPr>
            <w:r/>
            <w:r>
              <w:rPr>
                <w:rFonts w:ascii="Carlito" w:hAnsi="Carlito" w:eastAsia="Carlito"/>
                <w:b w:val="0"/>
                <w:color w:val="243447"/>
                <w:sz w:val="15"/>
              </w:rPr>
              <w:t>Benchmark, pas cœur universel</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5"/>
              </w:rPr>
              <w:t>IDAES-PSE</w:t>
            </w:r>
          </w:p>
        </w:tc>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5"/>
              </w:rPr>
              <w:t>BSD-3-Clause</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Procédés, propriétés et optimisation Pyomo</w:t>
            </w:r>
          </w:p>
        </w:tc>
        <w:tc>
          <w:tcPr>
            <w:tcW w:type="dxa" w:w="2098"/>
            <w:vAlign w:val="center"/>
            <w:tcMar>
              <w:top w:w="80" w:type="dxa"/>
              <w:start w:w="90" w:type="dxa"/>
              <w:bottom w:w="80" w:type="dxa"/>
              <w:end w:w="90" w:type="dxa"/>
            </w:tcMar>
          </w:tcPr>
          <w:p>
            <w:pPr>
              <w:spacing w:after="0"/>
            </w:pPr>
            <w:r/>
            <w:r>
              <w:rPr>
                <w:rFonts w:ascii="Carlito" w:hAnsi="Carlito" w:eastAsia="Carlito"/>
                <w:b w:val="0"/>
                <w:color w:val="243447"/>
                <w:sz w:val="15"/>
              </w:rPr>
              <w:t>À évaluer pour terminaux</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5"/>
              </w:rPr>
              <w:t>DWSIM</w:t>
            </w:r>
          </w:p>
        </w:tc>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5"/>
              </w:rPr>
              <w:t>GPLv3</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Thermodynamique et procédés</w:t>
            </w:r>
          </w:p>
        </w:tc>
        <w:tc>
          <w:tcPr>
            <w:tcW w:type="dxa" w:w="2098"/>
            <w:vAlign w:val="center"/>
            <w:tcMar>
              <w:top w:w="80" w:type="dxa"/>
              <w:start w:w="90" w:type="dxa"/>
              <w:bottom w:w="80" w:type="dxa"/>
              <w:end w:w="90" w:type="dxa"/>
            </w:tcMar>
            <w:shd w:fill="F2F2F2"/>
          </w:tcPr>
          <w:p>
            <w:pPr>
              <w:spacing w:after="0"/>
            </w:pPr>
            <w:r/>
            <w:r>
              <w:rPr>
                <w:rFonts w:ascii="Carlito" w:hAnsi="Carlito" w:eastAsia="Carlito"/>
                <w:b w:val="0"/>
                <w:color w:val="243447"/>
                <w:sz w:val="15"/>
              </w:rPr>
              <w:t>Outil externe ou service après audit, pas embarqué au MVP</w:t>
            </w:r>
          </w:p>
        </w:tc>
      </w:tr>
    </w:tbl>
    <w:p>
      <w:pPr>
        <w:spacing w:after="40"/>
      </w:pPr>
    </w:p>
    <w:p>
      <w:pPr>
        <w:pStyle w:val="Heading1"/>
      </w:pPr>
      <w:r>
        <w:t>5. Transitoires et Modelica</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Projet</w:t>
            </w:r>
          </w:p>
        </w:tc>
        <w:tc>
          <w:tcPr>
            <w:tcW w:type="dxa" w:w="3572"/>
            <w:vAlign w:val="center"/>
            <w:tcMar>
              <w:top w:w="80" w:type="dxa"/>
              <w:start w:w="90" w:type="dxa"/>
              <w:bottom w:w="80" w:type="dxa"/>
              <w:end w:w="90" w:type="dxa"/>
            </w:tcMar>
            <w:shd w:fill="17365D"/>
          </w:tcPr>
          <w:p>
            <w:pPr>
              <w:spacing w:after="0"/>
            </w:pPr>
            <w:r/>
            <w:r>
              <w:rPr>
                <w:rFonts w:ascii="Carlito" w:hAnsi="Carlito" w:eastAsia="Carlito"/>
                <w:b/>
                <w:color w:val="FFFFFF"/>
                <w:sz w:val="16"/>
              </w:rPr>
              <w:t>Licence/point d’attention</w:t>
            </w:r>
          </w:p>
        </w:tc>
        <w:tc>
          <w:tcPr>
            <w:tcW w:type="dxa" w:w="3572"/>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Modelica Standard Library</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BSD-3-Clause</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Composants fluides et thermiques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OpenModelica</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OSMC Public License et composants sous GPL ; usage à auditer</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Environnement de simulation et génération FMU</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FMI/FMU</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Standard ouvert ; implémentations diverses</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Échange de modèles compilés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Assimulo/SUNDIALS candidats</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Licences à vérifier par version</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Solveurs DAE/ODE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Moteur MOC interne</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Propriété du projet</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Coup de bélier liquide ciblé</w:t>
            </w:r>
          </w:p>
        </w:tc>
      </w:tr>
    </w:tbl>
    <w:p>
      <w:pPr>
        <w:spacing w:after="4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Décision licence</w:t>
            </w:r>
          </w:p>
          <w:p>
            <w:pPr>
              <w:spacing w:after="0"/>
            </w:pPr>
            <w:r>
              <w:rPr>
                <w:rFonts w:ascii="Carlito" w:hAnsi="Carlito"/>
                <w:color w:val="243447"/>
                <w:sz w:val="19"/>
              </w:rPr>
              <w:t>OpenModelica et DWSIM ne doivent pas être incorporés aveuglément dans un produit propriétaire. La preuve de concept peut les utiliser comme outils externes ; toute distribution ou intégration fait l’objet d’un audit juridique.</w:t>
            </w:r>
          </w:p>
        </w:tc>
      </w:tr>
    </w:tbl>
    <w:p>
      <w:pPr>
        <w:spacing w:after="20"/>
      </w:pPr>
    </w:p>
    <w:p>
      <w:pPr>
        <w:pStyle w:val="Heading1"/>
      </w:pPr>
      <w:r>
        <w:t>6. Connectivité industrielle et historiques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Projet</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Licence</w:t>
            </w:r>
          </w:p>
        </w:tc>
        <w:tc>
          <w:tcPr>
            <w:tcW w:type="dxa" w:w="4762"/>
            <w:vAlign w:val="center"/>
            <w:tcMar>
              <w:top w:w="80" w:type="dxa"/>
              <w:start w:w="90" w:type="dxa"/>
              <w:bottom w:w="80" w:type="dxa"/>
              <w:end w:w="90" w:type="dxa"/>
            </w:tcMar>
            <w:shd w:fill="17365D"/>
          </w:tcPr>
          <w:p>
            <w:pPr>
              <w:spacing w:after="0"/>
            </w:pPr>
            <w:r/>
            <w:r>
              <w:rPr>
                <w:rFonts w:ascii="Carlito" w:hAnsi="Carlito" w:eastAsia="Carlito"/>
                <w:b/>
                <w:color w:val="FFFFFF"/>
                <w:sz w:val="16"/>
              </w:rPr>
              <w:t>Usage proposé</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open62541</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MPL-2.0</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Client/serveur OPC UA C/C++ dans une passerelle dédiée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Eclipse Milo</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EPL-2.0</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Alternative OPC UA Java</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Apache PLC4X</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Apache-2.0</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Accès commun à Modbus, S7, EtherNet/IP et autres protocoles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Eclipse Paho</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EPL/EDL selon composant</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Client MQTT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Apache IoTDB</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Apache-2.0</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Historian industriel haute volumétrie futur</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TimescaleDB</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Apache-2.0 pour certaines parties + licence communautaire pour d’autres</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Extension PostgreSQL après vérification des fonctionnalités utilisées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Grafana</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AGPLv3</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Observabilité interne/externe ; implications de service à examiner</w:t>
            </w:r>
          </w:p>
        </w:tc>
      </w:tr>
    </w:tbl>
    <w:p>
      <w:pPr>
        <w:spacing w:after="40"/>
      </w:pPr>
    </w:p>
    <w:p>
      <w:pPr>
        <w:pStyle w:val="Heading1"/>
      </w:pPr>
      <w:r>
        <w:t>7. Matrice de décision</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871"/>
            <w:vAlign w:val="center"/>
            <w:tcMar>
              <w:top w:w="80" w:type="dxa"/>
              <w:start w:w="90" w:type="dxa"/>
              <w:bottom w:w="80" w:type="dxa"/>
              <w:end w:w="90" w:type="dxa"/>
            </w:tcMar>
            <w:shd w:fill="17365D"/>
          </w:tcPr>
          <w:p>
            <w:pPr>
              <w:spacing w:after="0"/>
            </w:pPr>
            <w:r/>
            <w:r>
              <w:rPr>
                <w:rFonts w:ascii="Carlito" w:hAnsi="Carlito" w:eastAsia="Carlito"/>
                <w:b/>
                <w:color w:val="FFFFFF"/>
                <w:sz w:val="15"/>
              </w:rPr>
              <w:t>Projet</w:t>
            </w:r>
          </w:p>
        </w:tc>
        <w:tc>
          <w:tcPr>
            <w:tcW w:type="dxa" w:w="1361"/>
            <w:vAlign w:val="center"/>
            <w:tcMar>
              <w:top w:w="80" w:type="dxa"/>
              <w:start w:w="90" w:type="dxa"/>
              <w:bottom w:w="80" w:type="dxa"/>
              <w:end w:w="90" w:type="dxa"/>
            </w:tcMar>
            <w:shd w:fill="17365D"/>
          </w:tcPr>
          <w:p>
            <w:pPr>
              <w:spacing w:after="0"/>
            </w:pPr>
            <w:r/>
            <w:r>
              <w:rPr>
                <w:rFonts w:ascii="Carlito" w:hAnsi="Carlito" w:eastAsia="Carlito"/>
                <w:b/>
                <w:color w:val="FFFFFF"/>
                <w:sz w:val="15"/>
              </w:rPr>
              <w:t>Cœur MVP</w:t>
            </w:r>
          </w:p>
        </w:tc>
        <w:tc>
          <w:tcPr>
            <w:tcW w:type="dxa" w:w="1361"/>
            <w:vAlign w:val="center"/>
            <w:tcMar>
              <w:top w:w="80" w:type="dxa"/>
              <w:start w:w="90" w:type="dxa"/>
              <w:bottom w:w="80" w:type="dxa"/>
              <w:end w:w="90" w:type="dxa"/>
            </w:tcMar>
            <w:shd w:fill="17365D"/>
          </w:tcPr>
          <w:p>
            <w:pPr>
              <w:spacing w:after="0"/>
            </w:pPr>
            <w:r/>
            <w:r>
              <w:rPr>
                <w:rFonts w:ascii="Carlito" w:hAnsi="Carlito" w:eastAsia="Carlito"/>
                <w:b/>
                <w:color w:val="FFFFFF"/>
                <w:sz w:val="15"/>
              </w:rPr>
              <w:t>Benchmark</w:t>
            </w:r>
          </w:p>
        </w:tc>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5"/>
              </w:rPr>
              <w:t>Service futur</w:t>
            </w:r>
          </w:p>
        </w:tc>
        <w:tc>
          <w:tcPr>
            <w:tcW w:type="dxa" w:w="3118"/>
            <w:vAlign w:val="center"/>
            <w:tcMar>
              <w:top w:w="80" w:type="dxa"/>
              <w:start w:w="90" w:type="dxa"/>
              <w:bottom w:w="80" w:type="dxa"/>
              <w:end w:w="90" w:type="dxa"/>
            </w:tcMar>
            <w:shd w:fill="17365D"/>
          </w:tcPr>
          <w:p>
            <w:pPr>
              <w:spacing w:after="0"/>
            </w:pPr>
            <w:r/>
            <w:r>
              <w:rPr>
                <w:rFonts w:ascii="Carlito" w:hAnsi="Carlito" w:eastAsia="Carlito"/>
                <w:b/>
                <w:color w:val="FFFFFF"/>
                <w:sz w:val="15"/>
              </w:rPr>
              <w:t>À éviter sans audit</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NumPy/SciPy</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c>
          <w:tcPr>
            <w:tcW w:type="dxa" w:w="3118"/>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fluids</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Oui</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Oui</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Non</w:t>
            </w:r>
          </w:p>
        </w:tc>
        <w:tc>
          <w:tcPr>
            <w:tcW w:type="dxa" w:w="3118"/>
            <w:vAlign w:val="center"/>
            <w:tcMar>
              <w:top w:w="80" w:type="dxa"/>
              <w:start w:w="90" w:type="dxa"/>
              <w:bottom w:w="80" w:type="dxa"/>
              <w:end w:w="90" w:type="dxa"/>
            </w:tcMar>
          </w:tcPr>
          <w:p>
            <w:pPr>
              <w:spacing w:after="0"/>
            </w:pPr>
            <w:r/>
            <w:r>
              <w:rPr>
                <w:rFonts w:ascii="Carlito" w:hAnsi="Carlito" w:eastAsia="Carlito"/>
                <w:b w:val="0"/>
                <w:color w:val="243447"/>
                <w:sz w:val="15"/>
              </w:rPr>
              <w:t>Non</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CoolProp</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c>
          <w:tcPr>
            <w:tcW w:type="dxa" w:w="3118"/>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Pyomo</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Oui</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Oui</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Non</w:t>
            </w:r>
          </w:p>
        </w:tc>
        <w:tc>
          <w:tcPr>
            <w:tcW w:type="dxa" w:w="3118"/>
            <w:vAlign w:val="center"/>
            <w:tcMar>
              <w:top w:w="80" w:type="dxa"/>
              <w:start w:w="90" w:type="dxa"/>
              <w:bottom w:w="80" w:type="dxa"/>
              <w:end w:w="90" w:type="dxa"/>
            </w:tcMar>
          </w:tcPr>
          <w:p>
            <w:pPr>
              <w:spacing w:after="0"/>
            </w:pPr>
            <w:r/>
            <w:r>
              <w:rPr>
                <w:rFonts w:ascii="Carlito" w:hAnsi="Carlito" w:eastAsia="Carlito"/>
                <w:b w:val="0"/>
                <w:color w:val="243447"/>
                <w:sz w:val="15"/>
              </w:rPr>
              <w:t>Solveur commercial à licencier séparément</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pandapipes</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Possible</w:t>
            </w:r>
          </w:p>
        </w:tc>
        <w:tc>
          <w:tcPr>
            <w:tcW w:type="dxa" w:w="3118"/>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GasModels.jl</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Non</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Oui</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Oui</w:t>
            </w:r>
          </w:p>
        </w:tc>
        <w:tc>
          <w:tcPr>
            <w:tcW w:type="dxa" w:w="3118"/>
            <w:vAlign w:val="center"/>
            <w:tcMar>
              <w:top w:w="80" w:type="dxa"/>
              <w:start w:w="90" w:type="dxa"/>
              <w:bottom w:w="80" w:type="dxa"/>
              <w:end w:w="90" w:type="dxa"/>
            </w:tcMar>
          </w:tcPr>
          <w:p>
            <w:pPr>
              <w:spacing w:after="0"/>
            </w:pPr>
            <w:r/>
            <w:r>
              <w:rPr>
                <w:rFonts w:ascii="Carlito" w:hAnsi="Carlito" w:eastAsia="Carlito"/>
                <w:b w:val="0"/>
                <w:color w:val="243447"/>
                <w:sz w:val="15"/>
              </w:rPr>
              <w:t>Non</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OpenModelica</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Oui/FMU</w:t>
            </w:r>
          </w:p>
        </w:tc>
        <w:tc>
          <w:tcPr>
            <w:tcW w:type="dxa" w:w="3118"/>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 pour intégration directe</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DWSIM</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Non</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Oui</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Possible</w:t>
            </w:r>
          </w:p>
        </w:tc>
        <w:tc>
          <w:tcPr>
            <w:tcW w:type="dxa" w:w="3118"/>
            <w:vAlign w:val="center"/>
            <w:tcMar>
              <w:top w:w="80" w:type="dxa"/>
              <w:start w:w="90" w:type="dxa"/>
              <w:bottom w:w="80" w:type="dxa"/>
              <w:end w:w="90" w:type="dxa"/>
            </w:tcMar>
          </w:tcPr>
          <w:p>
            <w:pPr>
              <w:spacing w:after="0"/>
            </w:pPr>
            <w:r/>
            <w:r>
              <w:rPr>
                <w:rFonts w:ascii="Carlito" w:hAnsi="Carlito" w:eastAsia="Carlito"/>
                <w:b w:val="0"/>
                <w:color w:val="243447"/>
                <w:sz w:val="15"/>
              </w:rPr>
              <w:t>Oui pour incorporation</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open62541/PLC4X</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POC</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Oui</w:t>
            </w:r>
          </w:p>
        </w:tc>
        <w:tc>
          <w:tcPr>
            <w:tcW w:type="dxa" w:w="3118"/>
            <w:vAlign w:val="center"/>
            <w:tcMar>
              <w:top w:w="80" w:type="dxa"/>
              <w:start w:w="90" w:type="dxa"/>
              <w:bottom w:w="80" w:type="dxa"/>
              <w:end w:w="90" w:type="dxa"/>
            </w:tcMar>
            <w:shd w:fill="F2F2F2"/>
          </w:tcPr>
          <w:p>
            <w:pPr>
              <w:spacing w:after="0"/>
            </w:pPr>
            <w:r/>
            <w:r>
              <w:rPr>
                <w:rFonts w:ascii="Carlito" w:hAnsi="Carlito" w:eastAsia="Carlito"/>
                <w:b w:val="0"/>
                <w:color w:val="243447"/>
                <w:sz w:val="15"/>
              </w:rPr>
              <w:t>Non</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IoTDB/TimescaleDB</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Non</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POC</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Oui</w:t>
            </w:r>
          </w:p>
        </w:tc>
        <w:tc>
          <w:tcPr>
            <w:tcW w:type="dxa" w:w="3118"/>
            <w:vAlign w:val="center"/>
            <w:tcMar>
              <w:top w:w="80" w:type="dxa"/>
              <w:start w:w="90" w:type="dxa"/>
              <w:bottom w:w="80" w:type="dxa"/>
              <w:end w:w="90" w:type="dxa"/>
            </w:tcMar>
          </w:tcPr>
          <w:p>
            <w:pPr>
              <w:spacing w:after="0"/>
            </w:pPr>
            <w:r/>
            <w:r>
              <w:rPr>
                <w:rFonts w:ascii="Carlito" w:hAnsi="Carlito" w:eastAsia="Carlito"/>
                <w:b w:val="0"/>
                <w:color w:val="243447"/>
                <w:sz w:val="15"/>
              </w:rPr>
              <w:t>Fonctions sous licence non compatible</w:t>
            </w:r>
          </w:p>
        </w:tc>
      </w:tr>
    </w:tbl>
    <w:p>
      <w:pPr>
        <w:spacing w:after="40"/>
      </w:pPr>
    </w:p>
    <w:p>
      <w:pPr>
        <w:pStyle w:val="Heading1"/>
      </w:pPr>
      <w:r>
        <w:t>8. Critères d’adoption d’une dépendance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Critère</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Questions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Couverture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La fonction est-elle réellement requise et validée ?</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Licence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Distribution, SaaS, modification et liens sont-ils compatibles ?</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Activité</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Mainteneurs, releases, issues et bus factor ?</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Qualité</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Tests, documentation, typing, benchmarks ?</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Sécurité</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CVE, politique de divulgation, dépendances transitives ?</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Performance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Temps, mémoire, parallélisme et stabilité ?</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Portabilité</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Linux, Windows dev, architecture CPU, conteneur ?</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Remplacement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Adapter défini et alternative disponible ?</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Validation</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Cas de référence et limites connues ?</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Gouvernance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Qui dans l’équipe maîtrise et met à jour ?</w:t>
            </w:r>
          </w:p>
        </w:tc>
      </w:tr>
    </w:tbl>
    <w:p>
      <w:pPr>
        <w:spacing w:after="40"/>
      </w:pPr>
    </w:p>
    <w:p>
      <w:pPr>
        <w:pStyle w:val="Heading1"/>
      </w:pPr>
      <w:r>
        <w:t>9. Preuves de concept obligatoires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POC</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6"/>
              </w:rPr>
              <w:t>Objectif</w:t>
            </w:r>
          </w:p>
        </w:tc>
        <w:tc>
          <w:tcPr>
            <w:tcW w:type="dxa" w:w="3175"/>
            <w:vAlign w:val="center"/>
            <w:tcMar>
              <w:top w:w="80" w:type="dxa"/>
              <w:start w:w="90" w:type="dxa"/>
              <w:bottom w:w="80" w:type="dxa"/>
              <w:end w:w="90" w:type="dxa"/>
            </w:tcMar>
            <w:shd w:fill="17365D"/>
          </w:tcPr>
          <w:p>
            <w:pPr>
              <w:spacing w:after="0"/>
            </w:pPr>
            <w:r/>
            <w:r>
              <w:rPr>
                <w:rFonts w:ascii="Carlito" w:hAnsi="Carlito" w:eastAsia="Carlito"/>
                <w:b/>
                <w:color w:val="FFFFFF"/>
                <w:sz w:val="16"/>
              </w:rPr>
              <w:t>Décision attendue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POC-OS-01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fluids vs formules internes sur 30 cas</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Fonctions réutilisées et wrappers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POC-OS-02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CoolProp sur fluides couverts et données pétrolières</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Périmètre exact et fallback</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POC-OS-03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Pyomo + solveurs open source</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Performance de l’optimisation MVP</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POC-OS-04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pandapipes vs moteur sur réseau simple</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Valeur comme benchmark</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POC-OS-05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GasModels.jl sur cas gaz</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Contrat de service futur</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POC-OS-06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OpenModelica/FMU sur pompe-vanne-réservoir</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Stratégie transitoires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POC-OS-07</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PostgreSQL partitionné vs TimescaleDB</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Seuil de migration</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POC-OS-08</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open62541/PLC4X en lecture seule</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Passerelle et sécurité</w:t>
            </w:r>
          </w:p>
        </w:tc>
      </w:tr>
    </w:tbl>
    <w:p>
      <w:pPr>
        <w:spacing w:after="40"/>
      </w:pPr>
    </w:p>
    <w:p>
      <w:pPr>
        <w:pStyle w:val="Heading1"/>
      </w:pPr>
      <w:r>
        <w:t>10. Gouvernance des dépendances</w:t>
      </w:r>
    </w:p>
    <w:p>
      <w:pPr>
        <w:pStyle w:val="ListBullet"/>
      </w:pPr>
      <w:r>
        <w:t>Fichier SBOM généré à chaque release.</w:t>
      </w:r>
    </w:p>
    <w:p>
      <w:pPr>
        <w:pStyle w:val="ListBullet"/>
      </w:pPr>
      <w:r>
        <w:t>Versions verrouillées et mises à jour planifiées.</w:t>
      </w:r>
    </w:p>
    <w:p>
      <w:pPr>
        <w:pStyle w:val="ListBullet"/>
      </w:pPr>
      <w:r>
        <w:t>Scan de vulnérabilités et licences en CI.</w:t>
      </w:r>
    </w:p>
    <w:p>
      <w:pPr>
        <w:pStyle w:val="ListBullet"/>
      </w:pPr>
      <w:r>
        <w:t>Registre avec propriétaire interne, justification et alternative.</w:t>
      </w:r>
    </w:p>
    <w:p>
      <w:pPr>
        <w:pStyle w:val="ListBullet"/>
      </w:pPr>
      <w:r>
        <w:t>Test de non-régression avant toute montée de version scientifique.</w:t>
      </w:r>
    </w:p>
    <w:p>
      <w:pPr>
        <w:pStyle w:val="ListBullet"/>
      </w:pPr>
      <w:r>
        <w:t>Conservation du code source et des licences conformément aux obligations.</w:t>
      </w:r>
    </w:p>
    <w:p>
      <w:pPr>
        <w:pStyle w:val="ListBullet"/>
      </w:pPr>
      <w:r>
        <w:t>Aucune dépendance téléchargée dynamiquement en production sans contrôle.</w:t>
      </w:r>
    </w:p>
    <w:p>
      <w:pPr>
        <w:pStyle w:val="Heading1"/>
      </w:pPr>
      <w:r>
        <w:t>11. Plan de sortie et réduction de dépendance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Dépendance</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6"/>
              </w:rPr>
              <w:t>Abstraction/solution de repli</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Interface correlations ; implémentations internes pour fonctions critiques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CoolProp</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6"/>
              </w:rPr>
              <w:t>PropertyProvider ; tables et corrélations internes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Pyomo</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OptimizationModel ; énumération ou autre framework</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PostGIS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6"/>
              </w:rPr>
              <w:t>Geometry repository ; GeoJSON et calculs applicatifs limités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TimescaleDB</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SQL PostgreSQL standard + export Parquet</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OpenModelica</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6"/>
              </w:rPr>
              <w:t>FMU standard ou moteur interne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GasModels.jl</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Contrat JSON indépendant et solveur gaz alternatif</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ECharts/MapLibre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6"/>
              </w:rPr>
              <w:t>Composants UI encapsulés</w:t>
            </w:r>
          </w:p>
        </w:tc>
      </w:tr>
    </w:tbl>
    <w:p>
      <w:pPr>
        <w:spacing w:after="40"/>
      </w:pPr>
    </w:p>
    <w:p>
      <w:pPr>
        <w:pStyle w:val="Heading1"/>
      </w:pPr>
      <w:r>
        <w:t>Sources et références</w:t>
      </w: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Règle d’utilisation</w:t>
            </w:r>
          </w:p>
          <w:p>
            <w:pPr>
              <w:spacing w:after="0"/>
            </w:pPr>
            <w:r>
              <w:rPr>
                <w:rFonts w:ascii="Carlito" w:hAnsi="Carlito"/>
                <w:color w:val="243447"/>
                <w:sz w:val="19"/>
              </w:rPr>
              <w:t>Les licences peuvent évoluer selon les versions et les modules. Le registre de dépendances doit conserver la licence exacte du paquet distribué.</w:t>
            </w:r>
          </w:p>
        </w:tc>
      </w:tr>
    </w:tbl>
    <w:p>
      <w:pPr>
        <w:spacing w:after="20"/>
      </w:pPr>
    </w:p>
    <w:p>
      <w:pPr>
        <w:pStyle w:val="ListBullet"/>
      </w:pPr>
      <w:r>
        <w:t>Dépôts officiels et fichiers de licence des projets cités, vérifiés au moment de la recherche 2026.</w:t>
      </w:r>
    </w:p>
    <w:p>
      <w:pPr>
        <w:pStyle w:val="ListBullet"/>
      </w:pPr>
      <w:r>
        <w:t>D11 - Architecture et D16 - Plan de développement.</w:t>
      </w:r>
    </w:p>
    <w:p>
      <w:pPr>
        <w:pStyle w:val="ListBullet"/>
      </w:pPr>
      <w:r>
        <w:t>Un audit juridique formel reste nécessaire avant distribution commerciale.</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D14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Stratégie open source et licences</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