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0F6B78"/>
          <w:sz w:val="36"/>
        </w:rPr>
        <w:t>Plateforme de transport et de stockage des hydrocarbures</w:t>
      </w:r>
    </w:p>
    <w:p>
      <w:pPr>
        <w:spacing w:before="520"/>
        <w:jc w:val="center"/>
      </w:pPr>
      <w:r>
        <w:rPr>
          <w:rFonts w:ascii="Liberation Sans" w:hAnsi="Liberation Sans"/>
          <w:b/>
          <w:color w:val="17365D"/>
          <w:sz w:val="40"/>
        </w:rPr>
        <w:t>D19</w:t>
      </w:r>
    </w:p>
    <w:p>
      <w:pPr>
        <w:spacing w:before="160"/>
        <w:jc w:val="center"/>
      </w:pPr>
      <w:r>
        <w:rPr>
          <w:rFonts w:ascii="Liberation Sans" w:hAnsi="Liberation Sans"/>
          <w:b/>
          <w:color w:val="17365D"/>
          <w:sz w:val="52"/>
        </w:rPr>
        <w:t>Modèles de rapports et interfaces</w:t>
      </w:r>
    </w:p>
    <w:p>
      <w:pPr>
        <w:spacing w:before="200"/>
        <w:jc w:val="center"/>
      </w:pPr>
      <w:r>
        <w:rPr>
          <w:rFonts w:ascii="Carlito" w:hAnsi="Carlito"/>
          <w:i/>
          <w:color w:val="243447"/>
          <w:sz w:val="25"/>
        </w:rPr>
        <w:t>Catalogue des écrans, graphiques, rapports et règles de présentation</w:t>
      </w:r>
    </w:p>
    <w:p>
      <w:pPr>
        <w:spacing w:before="840"/>
      </w:pP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Version</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1.0</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Date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août 2026</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Statut</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Référence de conception - à valider par l’équipe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Équipe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développeurs, avec assistants IA</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Référentiel</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ASME, API, ISO, IEC, ISA et exigences locales applicables</w:t>
            </w:r>
          </w:p>
        </w:tc>
      </w:tr>
    </w:tbl>
    <w:p/>
    <w:p>
      <w:pPr>
        <w:ind w:left="850" w:right="850"/>
        <w:jc w:val="center"/>
      </w:pPr>
      <w:r>
        <w:rPr>
          <w:i/>
          <w:color w:val="667788"/>
          <w:sz w:val="17"/>
        </w:rPr>
        <w:t>Note : ce document structure la conception du logiciel. Il ne remplace ni les textes normatifs achetés auprès de leurs éditeurs, ni les validations d’un ingénieur habilité, ni les autorisations réglementaires d’un site réel.</w:t>
      </w:r>
    </w:p>
    <w:p>
      <w:r>
        <w:br w:type="page"/>
      </w:r>
    </w:p>
    <w:p>
      <w:pPr>
        <w:pStyle w:val="Heading1"/>
      </w:pPr>
      <w:r>
        <w:t>Contrôle du document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8"/>
              </w:rPr>
              <w:t>Champ</w:t>
            </w:r>
          </w:p>
        </w:tc>
        <w:tc>
          <w:tcPr>
            <w:tcW w:type="dxa" w:w="6917"/>
            <w:vAlign w:val="center"/>
            <w:tcMar>
              <w:top w:w="80" w:type="dxa"/>
              <w:start w:w="90" w:type="dxa"/>
              <w:bottom w:w="80" w:type="dxa"/>
              <w:end w:w="90" w:type="dxa"/>
            </w:tcMar>
            <w:shd w:fill="17365D"/>
          </w:tcPr>
          <w:p>
            <w:pPr>
              <w:spacing w:after="0"/>
            </w:pPr>
            <w:r/>
            <w:r>
              <w:rPr>
                <w:rFonts w:ascii="Carlito" w:hAnsi="Carlito" w:eastAsia="Carlito"/>
                <w:b/>
                <w:color w:val="FFFFFF"/>
                <w:sz w:val="18"/>
              </w:rPr>
              <w:t>Valeur</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Code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D19</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Version</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1.0</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Date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2 août 2026</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Auteur</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Équipe projet - 2 développeurs assistés par IA</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Validation attendue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Relecture technique, métier et réglementaire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Statut</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Document de référence pour la conception</w:t>
            </w:r>
          </w:p>
        </w:tc>
      </w:tr>
    </w:tbl>
    <w:p>
      <w:pPr>
        <w:spacing w:after="40"/>
      </w:pPr>
    </w:p>
    <w:p>
      <w:pPr>
        <w:pStyle w:val="Heading1"/>
      </w:pPr>
      <w:r>
        <w:t>Table des matières</w:t>
      </w:r>
    </w:p>
    <w:p>
      <w:pPr>
        <w:pStyle w:val="ListNumber"/>
      </w:pPr>
      <w:r>
        <w:t>Principes UX</w:t>
      </w:r>
    </w:p>
    <w:p>
      <w:pPr>
        <w:pStyle w:val="ListNumber"/>
      </w:pPr>
      <w:r>
        <w:t>Navigation</w:t>
      </w:r>
    </w:p>
    <w:p>
      <w:pPr>
        <w:pStyle w:val="ListNumber"/>
      </w:pPr>
      <w:r>
        <w:t>Écrans MVP</w:t>
      </w:r>
    </w:p>
    <w:p>
      <w:pPr>
        <w:pStyle w:val="ListNumber"/>
      </w:pPr>
      <w:r>
        <w:t>Éditeur réseau</w:t>
      </w:r>
    </w:p>
    <w:p>
      <w:pPr>
        <w:pStyle w:val="ListNumber"/>
      </w:pPr>
      <w:r>
        <w:t>Calcul et résultats</w:t>
      </w:r>
    </w:p>
    <w:p>
      <w:pPr>
        <w:pStyle w:val="ListNumber"/>
      </w:pPr>
      <w:r>
        <w:t>Scénarios</w:t>
      </w:r>
    </w:p>
    <w:p>
      <w:pPr>
        <w:pStyle w:val="ListNumber"/>
      </w:pPr>
      <w:r>
        <w:t>Bacs/transferts</w:t>
      </w:r>
    </w:p>
    <w:p>
      <w:pPr>
        <w:pStyle w:val="ListNumber"/>
      </w:pPr>
      <w:r>
        <w:t>Données</w:t>
      </w:r>
    </w:p>
    <w:p>
      <w:pPr>
        <w:pStyle w:val="ListNumber"/>
      </w:pPr>
      <w:r>
        <w:t>Administration</w:t>
      </w:r>
    </w:p>
    <w:p>
      <w:pPr>
        <w:pStyle w:val="ListNumber"/>
      </w:pPr>
      <w:r>
        <w:t>Graphiques</w:t>
      </w:r>
    </w:p>
    <w:p>
      <w:pPr>
        <w:pStyle w:val="ListNumber"/>
      </w:pPr>
      <w:r>
        <w:t>Rapports</w:t>
      </w:r>
    </w:p>
    <w:p>
      <w:pPr>
        <w:pStyle w:val="ListNumber"/>
      </w:pPr>
      <w:r>
        <w:t>Modèle note de calcul</w:t>
      </w:r>
    </w:p>
    <w:p>
      <w:pPr>
        <w:pStyle w:val="ListNumber"/>
      </w:pPr>
      <w:r>
        <w:t>Modèle transfert</w:t>
      </w:r>
    </w:p>
    <w:p>
      <w:pPr>
        <w:pStyle w:val="ListNumber"/>
      </w:pPr>
      <w:r>
        <w:t>Alertes et erreurs</w:t>
      </w:r>
    </w:p>
    <w:p>
      <w:pPr>
        <w:pStyle w:val="ListNumber"/>
      </w:pPr>
      <w:r>
        <w:t>Accessibilité</w:t>
      </w:r>
    </w:p>
    <w:p>
      <w:r>
        <w:rPr>
          <w:i/>
          <w:color w:val="6B7785"/>
          <w:sz w:val="17"/>
        </w:rPr>
        <w:t>La pagination peut évoluer après validation et mise en forme finale dans Microsoft Word ou LibreOffice.</w:t>
      </w:r>
    </w:p>
    <w:p>
      <w:r>
        <w:br w:type="page"/>
      </w:r>
    </w:p>
    <w:p>
      <w:pPr>
        <w:pStyle w:val="Heading1"/>
      </w:pPr>
      <w:r>
        <w:t>1. Principes d’interface</w:t>
      </w:r>
    </w:p>
    <w:p>
      <w:pPr>
        <w:pStyle w:val="ListBullet"/>
      </w:pPr>
      <w:r>
        <w:t>Interface destinée à des ingénieurs : dense mais structurée, unités toujours visibles.</w:t>
      </w:r>
    </w:p>
    <w:p>
      <w:pPr>
        <w:pStyle w:val="ListBullet"/>
      </w:pPr>
      <w:r>
        <w:t>Séparer saisie, validation, calcul et approbation.</w:t>
      </w:r>
    </w:p>
    <w:p>
      <w:pPr>
        <w:pStyle w:val="ListBullet"/>
      </w:pPr>
      <w:r>
        <w:t>Montrer les hypothèses et avertissements avant les indicateurs de performance.</w:t>
      </w:r>
    </w:p>
    <w:p>
      <w:pPr>
        <w:pStyle w:val="ListBullet"/>
      </w:pPr>
      <w:r>
        <w:t>Permettre de revenir de chaque résultat à l’équipement et à la donnée source.</w:t>
      </w:r>
    </w:p>
    <w:p>
      <w:pPr>
        <w:pStyle w:val="ListBullet"/>
      </w:pPr>
      <w:r>
        <w:t>Utiliser des couleurs comme complément et non comme seul code.</w:t>
      </w:r>
    </w:p>
    <w:p>
      <w:pPr>
        <w:pStyle w:val="ListBullet"/>
      </w:pPr>
      <w:r>
        <w:t>Conserver le contexte projet/scénario dans toutes les pages.</w:t>
      </w:r>
    </w:p>
    <w:p>
      <w:pPr>
        <w:pStyle w:val="ListBullet"/>
      </w:pPr>
      <w:r>
        <w:t>Ne pas imiter un HMI/SCADA de contrôle ; la plateforme est analytique.</w:t>
      </w:r>
    </w:p>
    <w:p>
      <w:pPr>
        <w:pStyle w:val="Heading1"/>
      </w:pPr>
      <w:r>
        <w:t>2. Navigation principale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7"/>
              </w:rPr>
              <w:t>Zone</w:t>
            </w:r>
          </w:p>
        </w:tc>
        <w:tc>
          <w:tcPr>
            <w:tcW w:type="dxa" w:w="7030"/>
            <w:vAlign w:val="center"/>
            <w:tcMar>
              <w:top w:w="80" w:type="dxa"/>
              <w:start w:w="90" w:type="dxa"/>
              <w:bottom w:w="80" w:type="dxa"/>
              <w:end w:w="90" w:type="dxa"/>
            </w:tcMar>
            <w:shd w:fill="17365D"/>
          </w:tcPr>
          <w:p>
            <w:pPr>
              <w:spacing w:after="0"/>
            </w:pPr>
            <w:r/>
            <w:r>
              <w:rPr>
                <w:rFonts w:ascii="Carlito" w:hAnsi="Carlito" w:eastAsia="Carlito"/>
                <w:b/>
                <w:color w:val="FFFFFF"/>
                <w:sz w:val="17"/>
              </w:rPr>
              <w:t>Contenu</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Accueil</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Organisations, projets récents, jobs, alertes de qualité</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Projet</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Résumé, versions, membres, normes et fichiers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Modèle</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Carte, schéma, actifs, produits et validation</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Scénarios</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Liste, overrides, comparaison et statut</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Calculs</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Jobs, résultats, diagnostics et historique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Stockage</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Bacs, inventaires, transferts et bilans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Données</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Imports, datasets, séries et qualité</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Rapports</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Documents générés, modèles et approbations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Administration</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Utilisateurs, catalogues, règles, audit et sauvegardes</w:t>
            </w:r>
          </w:p>
        </w:tc>
      </w:tr>
    </w:tbl>
    <w:p>
      <w:pPr>
        <w:spacing w:after="40"/>
      </w:pPr>
    </w:p>
    <w:p>
      <w:pPr>
        <w:pStyle w:val="Heading1"/>
      </w:pPr>
      <w:r>
        <w:t>3. Écrans MVP</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041"/>
            <w:vAlign w:val="center"/>
            <w:tcMar>
              <w:top w:w="80" w:type="dxa"/>
              <w:start w:w="90" w:type="dxa"/>
              <w:bottom w:w="80" w:type="dxa"/>
              <w:end w:w="90" w:type="dxa"/>
            </w:tcMar>
            <w:shd w:fill="17365D"/>
          </w:tcPr>
          <w:p>
            <w:pPr>
              <w:spacing w:after="0"/>
            </w:pPr>
            <w:r/>
            <w:r>
              <w:rPr>
                <w:rFonts w:ascii="Carlito" w:hAnsi="Carlito" w:eastAsia="Carlito"/>
                <w:b/>
                <w:color w:val="FFFFFF"/>
                <w:sz w:val="16"/>
              </w:rPr>
              <w:t>Écran</w:t>
            </w:r>
          </w:p>
        </w:tc>
        <w:tc>
          <w:tcPr>
            <w:tcW w:type="dxa" w:w="3969"/>
            <w:vAlign w:val="center"/>
            <w:tcMar>
              <w:top w:w="80" w:type="dxa"/>
              <w:start w:w="90" w:type="dxa"/>
              <w:bottom w:w="80" w:type="dxa"/>
              <w:end w:w="90" w:type="dxa"/>
            </w:tcMar>
            <w:shd w:fill="17365D"/>
          </w:tcPr>
          <w:p>
            <w:pPr>
              <w:spacing w:after="0"/>
            </w:pPr>
            <w:r/>
            <w:r>
              <w:rPr>
                <w:rFonts w:ascii="Carlito" w:hAnsi="Carlito" w:eastAsia="Carlito"/>
                <w:b/>
                <w:color w:val="FFFFFF"/>
                <w:sz w:val="16"/>
              </w:rPr>
              <w:t>Éléments clés</w:t>
            </w:r>
          </w:p>
        </w:tc>
        <w:tc>
          <w:tcPr>
            <w:tcW w:type="dxa" w:w="3402"/>
            <w:vAlign w:val="center"/>
            <w:tcMar>
              <w:top w:w="80" w:type="dxa"/>
              <w:start w:w="90" w:type="dxa"/>
              <w:bottom w:w="80" w:type="dxa"/>
              <w:end w:w="90" w:type="dxa"/>
            </w:tcMar>
            <w:shd w:fill="17365D"/>
          </w:tcPr>
          <w:p>
            <w:pPr>
              <w:spacing w:after="0"/>
            </w:pPr>
            <w:r/>
            <w:r>
              <w:rPr>
                <w:rFonts w:ascii="Carlito" w:hAnsi="Carlito" w:eastAsia="Carlito"/>
                <w:b/>
                <w:color w:val="FFFFFF"/>
                <w:sz w:val="16"/>
              </w:rPr>
              <w:t>Actions</w:t>
            </w:r>
          </w:p>
        </w:tc>
      </w:tr>
      <w:tr>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Liste projets</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Nom, type, site, statut, dernière activité</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Créer, ouvrir, cloner, archiver</w:t>
            </w:r>
          </w:p>
        </w:tc>
      </w:tr>
      <w:tr>
        <w:tc>
          <w:tcPr>
            <w:tcW w:type="dxa" w:w="2041"/>
            <w:vAlign w:val="center"/>
            <w:tcMar>
              <w:top w:w="80" w:type="dxa"/>
              <w:start w:w="90" w:type="dxa"/>
              <w:bottom w:w="80" w:type="dxa"/>
              <w:end w:w="90" w:type="dxa"/>
            </w:tcMar>
          </w:tcPr>
          <w:p>
            <w:pPr>
              <w:spacing w:after="0"/>
            </w:pPr>
            <w:r/>
            <w:r>
              <w:rPr>
                <w:rFonts w:ascii="Carlito" w:hAnsi="Carlito" w:eastAsia="Carlito"/>
                <w:b w:val="0"/>
                <w:color w:val="243447"/>
                <w:sz w:val="16"/>
              </w:rPr>
              <w:t>Fiche projet</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Référentiel, unités, pays, responsables</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Modifier, valider, exporter</w:t>
            </w:r>
          </w:p>
        </w:tc>
      </w:tr>
      <w:tr>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Validateur modèle</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Erreurs bloquantes et avertissements</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Naviguer vers objet et corriger</w:t>
            </w:r>
          </w:p>
        </w:tc>
      </w:tr>
      <w:tr>
        <w:tc>
          <w:tcPr>
            <w:tcW w:type="dxa" w:w="2041"/>
            <w:vAlign w:val="center"/>
            <w:tcMar>
              <w:top w:w="80" w:type="dxa"/>
              <w:start w:w="90" w:type="dxa"/>
              <w:bottom w:w="80" w:type="dxa"/>
              <w:end w:w="90" w:type="dxa"/>
            </w:tcMar>
          </w:tcPr>
          <w:p>
            <w:pPr>
              <w:spacing w:after="0"/>
            </w:pPr>
            <w:r/>
            <w:r>
              <w:rPr>
                <w:rFonts w:ascii="Carlito" w:hAnsi="Carlito" w:eastAsia="Carlito"/>
                <w:b w:val="0"/>
                <w:color w:val="243447"/>
                <w:sz w:val="16"/>
              </w:rPr>
              <w:t>Catalogue pompe</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Points, fit, courbes, limites</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Importer, approuver, versionner</w:t>
            </w:r>
          </w:p>
        </w:tc>
      </w:tr>
      <w:tr>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Scénario</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Conditions, états, objectifs</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Calculer, comparer, cloner</w:t>
            </w:r>
          </w:p>
        </w:tc>
      </w:tr>
      <w:tr>
        <w:tc>
          <w:tcPr>
            <w:tcW w:type="dxa" w:w="2041"/>
            <w:vAlign w:val="center"/>
            <w:tcMar>
              <w:top w:w="80" w:type="dxa"/>
              <w:start w:w="90" w:type="dxa"/>
              <w:bottom w:w="80" w:type="dxa"/>
              <w:end w:w="90" w:type="dxa"/>
            </w:tcMar>
          </w:tcPr>
          <w:p>
            <w:pPr>
              <w:spacing w:after="0"/>
            </w:pPr>
            <w:r/>
            <w:r>
              <w:rPr>
                <w:rFonts w:ascii="Carlito" w:hAnsi="Carlito" w:eastAsia="Carlito"/>
                <w:b w:val="0"/>
                <w:color w:val="243447"/>
                <w:sz w:val="16"/>
              </w:rPr>
              <w:t>Résultat</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KPI, profil, stations, violations</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Exporter, rapport, approuver</w:t>
            </w:r>
          </w:p>
        </w:tc>
      </w:tr>
      <w:tr>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Parc de bacs</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Niveaux, produits, capacité disponible</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Créer mouvement</w:t>
            </w:r>
          </w:p>
        </w:tc>
      </w:tr>
      <w:tr>
        <w:tc>
          <w:tcPr>
            <w:tcW w:type="dxa" w:w="2041"/>
            <w:vAlign w:val="center"/>
            <w:tcMar>
              <w:top w:w="80" w:type="dxa"/>
              <w:start w:w="90" w:type="dxa"/>
              <w:bottom w:w="80" w:type="dxa"/>
              <w:end w:w="90" w:type="dxa"/>
            </w:tcMar>
          </w:tcPr>
          <w:p>
            <w:pPr>
              <w:spacing w:after="0"/>
            </w:pPr>
            <w:r/>
            <w:r>
              <w:rPr>
                <w:rFonts w:ascii="Carlito" w:hAnsi="Carlito" w:eastAsia="Carlito"/>
                <w:b w:val="0"/>
                <w:color w:val="243447"/>
                <w:sz w:val="16"/>
              </w:rPr>
              <w:t>Transfert</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Chemin, pompe, volume, courbes</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Simuler et rapport</w:t>
            </w:r>
          </w:p>
        </w:tc>
      </w:tr>
      <w:tr>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Import</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Aperçu, mapping, unités, erreurs</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Valider et lancer</w:t>
            </w:r>
          </w:p>
        </w:tc>
      </w:tr>
      <w:tr>
        <w:tc>
          <w:tcPr>
            <w:tcW w:type="dxa" w:w="2041"/>
            <w:vAlign w:val="center"/>
            <w:tcMar>
              <w:top w:w="80" w:type="dxa"/>
              <w:start w:w="90" w:type="dxa"/>
              <w:bottom w:w="80" w:type="dxa"/>
              <w:end w:w="90" w:type="dxa"/>
            </w:tcMar>
          </w:tcPr>
          <w:p>
            <w:pPr>
              <w:spacing w:after="0"/>
            </w:pPr>
            <w:r/>
            <w:r>
              <w:rPr>
                <w:rFonts w:ascii="Carlito" w:hAnsi="Carlito" w:eastAsia="Carlito"/>
                <w:b w:val="0"/>
                <w:color w:val="243447"/>
                <w:sz w:val="16"/>
              </w:rPr>
              <w:t>Audit</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Acteur, action, objet, date</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Filtrer/exporter selon droits</w:t>
            </w:r>
          </w:p>
        </w:tc>
      </w:tr>
    </w:tbl>
    <w:p>
      <w:pPr>
        <w:spacing w:after="40"/>
      </w:pPr>
    </w:p>
    <w:p>
      <w:pPr>
        <w:pStyle w:val="Heading1"/>
      </w:pPr>
      <w:r>
        <w:t>4. Éditeur réseau</w:t>
      </w:r>
    </w:p>
    <w:p>
      <w:pPr>
        <w:pStyle w:val="ListBullet"/>
      </w:pPr>
      <w:r>
        <w:t>Panneau gauche : bibliothèque de composants et couches.</w:t>
      </w:r>
    </w:p>
    <w:p>
      <w:pPr>
        <w:pStyle w:val="ListBullet"/>
      </w:pPr>
      <w:r>
        <w:t>Centre : schéma ou carte avec sélection, zoom et filtres.</w:t>
      </w:r>
    </w:p>
    <w:p>
      <w:pPr>
        <w:pStyle w:val="ListBullet"/>
      </w:pPr>
      <w:r>
        <w:t>Panneau droit : propriétés de l’objet sélectionné avec unités et source.</w:t>
      </w:r>
    </w:p>
    <w:p>
      <w:pPr>
        <w:pStyle w:val="ListBullet"/>
      </w:pPr>
      <w:r>
        <w:t>Bandeau validation : nombre d’erreurs, avertissements et statut calculable.</w:t>
      </w:r>
    </w:p>
    <w:p>
      <w:pPr>
        <w:pStyle w:val="ListBullet"/>
      </w:pPr>
      <w:r>
        <w:t>Vue profil : chainage, altitude, stations et points remarquables.</w:t>
      </w:r>
    </w:p>
    <w:p>
      <w:pPr>
        <w:pStyle w:val="ListBullet"/>
      </w:pPr>
      <w:r>
        <w:t>Mode tableau : édition en masse et copier-coller contrôlé.</w:t>
      </w:r>
    </w:p>
    <w:p>
      <w:pPr>
        <w:pStyle w:val="ListBullet"/>
      </w:pPr>
      <w:r>
        <w:t>Historique : diff de version et auteur.</w:t>
      </w:r>
    </w:p>
    <w:tbl>
      <w:tblPr>
        <w:tblW w:type="auto" w:w="0"/>
        <w:jc w:val="center"/>
        <w:tblLook w:firstColumn="1" w:firstRow="1" w:lastColumn="0" w:lastRow="0" w:noHBand="0" w:noVBand="1" w:val="04A0"/>
      </w:tblPr>
      <w:tblGrid>
        <w:gridCol w:w="9979"/>
      </w:tblGrid>
      <w:tr>
        <w:tc>
          <w:tcPr>
            <w:tcW w:type="dxa" w:w="9979"/>
            <w:shd w:fill="FFF2CC"/>
            <w:tcMar>
              <w:top w:w="130" w:type="dxa"/>
              <w:start w:w="140" w:type="dxa"/>
              <w:bottom w:w="130" w:type="dxa"/>
              <w:end w:w="140" w:type="dxa"/>
            </w:tcMar>
          </w:tcPr>
          <w:p>
            <w:r/>
            <w:r>
              <w:rPr>
                <w:rFonts w:ascii="Liberation Sans" w:hAnsi="Liberation Sans"/>
                <w:b/>
                <w:color w:val="17365D"/>
                <w:sz w:val="21"/>
              </w:rPr>
              <w:t>MVP pragmatique</w:t>
            </w:r>
          </w:p>
          <w:p>
            <w:pPr>
              <w:spacing w:after="0"/>
            </w:pPr>
            <w:r>
              <w:rPr>
                <w:rFonts w:ascii="Carlito" w:hAnsi="Carlito"/>
                <w:color w:val="243447"/>
                <w:sz w:val="19"/>
              </w:rPr>
              <w:t>L’éditeur graphique peut commencer comme une vue contrôlée complétée par des tableaux et formulaires. Un outil CAD/P&amp;ID complet n’est pas nécessaire au MVP.</w:t>
            </w:r>
          </w:p>
        </w:tc>
      </w:tr>
    </w:tbl>
    <w:p>
      <w:pPr>
        <w:spacing w:after="20"/>
      </w:pPr>
    </w:p>
    <w:p>
      <w:pPr>
        <w:pStyle w:val="Heading1"/>
      </w:pPr>
      <w:r>
        <w:t>5. Page de calcul et résultats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7"/>
              </w:rPr>
              <w:t>Bloc</w:t>
            </w:r>
          </w:p>
        </w:tc>
        <w:tc>
          <w:tcPr>
            <w:tcW w:type="dxa" w:w="7143"/>
            <w:vAlign w:val="center"/>
            <w:tcMar>
              <w:top w:w="80" w:type="dxa"/>
              <w:start w:w="90" w:type="dxa"/>
              <w:bottom w:w="80" w:type="dxa"/>
              <w:end w:w="90" w:type="dxa"/>
            </w:tcMar>
            <w:shd w:fill="17365D"/>
          </w:tcPr>
          <w:p>
            <w:pPr>
              <w:spacing w:after="0"/>
            </w:pPr>
            <w:r/>
            <w:r>
              <w:rPr>
                <w:rFonts w:ascii="Carlito" w:hAnsi="Carlito" w:eastAsia="Carlito"/>
                <w:b/>
                <w:color w:val="FFFFFF"/>
                <w:sz w:val="17"/>
              </w:rPr>
              <w:t>Contenu</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Résumé</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Statut, durée, débit, énergie, pression min/max, violations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Hypothèses</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Produit, propriétés, corrélations, conditions et normes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Profil hydraulique</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Altitude, charge, pression, limites et stations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Stations</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Aspiration/refoulement, pompes, point, puissance, NPSH</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Tronçons</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Q, v, Re, λ, pertes, pression et marge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Diagnostics</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Résidu, itérations, bilan de masse, extrapolations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Contrôles</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Règles conformes/non conformes/non applicables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Fichiers</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Entrées canoniques, exports et rapport</w:t>
            </w:r>
          </w:p>
        </w:tc>
      </w:tr>
    </w:tbl>
    <w:p>
      <w:pPr>
        <w:spacing w:after="40"/>
      </w:pPr>
    </w:p>
    <w:p>
      <w:pPr>
        <w:pStyle w:val="Heading1"/>
      </w:pPr>
      <w:r>
        <w:t>6. Comparateur de scénarios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7"/>
              </w:rPr>
              <w:t>Dimension</w:t>
            </w:r>
          </w:p>
        </w:tc>
        <w:tc>
          <w:tcPr>
            <w:tcW w:type="dxa" w:w="7030"/>
            <w:vAlign w:val="center"/>
            <w:tcMar>
              <w:top w:w="80" w:type="dxa"/>
              <w:start w:w="90" w:type="dxa"/>
              <w:bottom w:w="80" w:type="dxa"/>
              <w:end w:w="90" w:type="dxa"/>
            </w:tcMar>
            <w:shd w:fill="17365D"/>
          </w:tcPr>
          <w:p>
            <w:pPr>
              <w:spacing w:after="0"/>
            </w:pPr>
            <w:r/>
            <w:r>
              <w:rPr>
                <w:rFonts w:ascii="Carlito" w:hAnsi="Carlito" w:eastAsia="Carlito"/>
                <w:b/>
                <w:color w:val="FFFFFF"/>
                <w:sz w:val="17"/>
              </w:rPr>
              <w:t>Présentation</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Faisabilité</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Badge et raisons principales</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Débit/production</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Valeur et écart baseline</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Pressions</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Min/max, emplacements et marges</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Énergie/coût</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Total et par station</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Équipements</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Actifs, secours, indisponibles et vitesse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Contraintes</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Nombre par sévérité et détail</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Objectif</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Score, rang et méthode d’optimisation</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Décision</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Recommandé, retenu, rejeté et commentaire</w:t>
            </w:r>
          </w:p>
        </w:tc>
      </w:tr>
    </w:tbl>
    <w:p>
      <w:pPr>
        <w:spacing w:after="40"/>
      </w:pPr>
    </w:p>
    <w:p>
      <w:pPr>
        <w:pStyle w:val="Heading1"/>
      </w:pPr>
      <w:r>
        <w:t>7. Interface réservoirs et transferts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7"/>
              </w:rPr>
              <w:t>Vue</w:t>
            </w:r>
          </w:p>
        </w:tc>
        <w:tc>
          <w:tcPr>
            <w:tcW w:type="dxa" w:w="7030"/>
            <w:vAlign w:val="center"/>
            <w:tcMar>
              <w:top w:w="80" w:type="dxa"/>
              <w:start w:w="90" w:type="dxa"/>
              <w:bottom w:w="80" w:type="dxa"/>
              <w:end w:w="90" w:type="dxa"/>
            </w:tcMar>
            <w:shd w:fill="17365D"/>
          </w:tcPr>
          <w:p>
            <w:pPr>
              <w:spacing w:after="0"/>
            </w:pPr>
            <w:r/>
            <w:r>
              <w:rPr>
                <w:rFonts w:ascii="Carlito" w:hAnsi="Carlito" w:eastAsia="Carlito"/>
                <w:b/>
                <w:color w:val="FFFFFF"/>
                <w:sz w:val="17"/>
              </w:rPr>
              <w:t>Éléments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Parc</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Bac, produit, niveau, volume, capacité disponible, alarmes</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Fiche bac</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Géométrie, barémage, limites, équipements, historique</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Assistant transfert</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Source, destination, volume, produit, chemin, pompe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Simulation</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Q(t), niveaux, pressions, énergie et événements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Ordre de mouvement</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Vannes, pompes, limites, heure et responsable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Bilan</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Compteurs, stocks, densité, écart, incertitude et commentaires</w:t>
            </w:r>
          </w:p>
        </w:tc>
      </w:tr>
    </w:tbl>
    <w:p>
      <w:pPr>
        <w:spacing w:after="40"/>
      </w:pPr>
    </w:p>
    <w:p>
      <w:pPr>
        <w:pStyle w:val="Heading1"/>
      </w:pPr>
      <w:r>
        <w:t>8. Données et qualité</w:t>
      </w:r>
    </w:p>
    <w:p>
      <w:pPr>
        <w:pStyle w:val="ListBullet"/>
      </w:pPr>
      <w:r>
        <w:t>Aperçu des lignes et détection automatique des types.</w:t>
      </w:r>
    </w:p>
    <w:p>
      <w:pPr>
        <w:pStyle w:val="ListBullet"/>
      </w:pPr>
      <w:r>
        <w:t>Mapping colonne → grandeur → unité → actif/tag.</w:t>
      </w:r>
    </w:p>
    <w:p>
      <w:pPr>
        <w:pStyle w:val="ListBullet"/>
      </w:pPr>
      <w:r>
        <w:t>Histogrammes, trous, doublons, qualité et plages.</w:t>
      </w:r>
    </w:p>
    <w:p>
      <w:pPr>
        <w:pStyle w:val="ListBullet"/>
      </w:pPr>
      <w:r>
        <w:t>Séparation visuelle brute/normalisée/réconciliée.</w:t>
      </w:r>
    </w:p>
    <w:p>
      <w:pPr>
        <w:pStyle w:val="ListBullet"/>
      </w:pPr>
      <w:r>
        <w:t>Chronologie avec événements et états d’équipement.</w:t>
      </w:r>
    </w:p>
    <w:p>
      <w:pPr>
        <w:pStyle w:val="ListBullet"/>
      </w:pPr>
      <w:r>
        <w:t>Comparaison mesure/modèle et résidus.</w:t>
      </w:r>
    </w:p>
    <w:p>
      <w:pPr>
        <w:pStyle w:val="ListBullet"/>
      </w:pPr>
      <w:r>
        <w:t>Export des anomalies et décisions de correction.</w:t>
      </w:r>
    </w:p>
    <w:p>
      <w:pPr>
        <w:pStyle w:val="Heading1"/>
      </w:pPr>
      <w:r>
        <w:t>9. Administration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7"/>
              </w:rPr>
              <w:t>Écran</w:t>
            </w:r>
          </w:p>
        </w:tc>
        <w:tc>
          <w:tcPr>
            <w:tcW w:type="dxa" w:w="7030"/>
            <w:vAlign w:val="center"/>
            <w:tcMar>
              <w:top w:w="80" w:type="dxa"/>
              <w:start w:w="90" w:type="dxa"/>
              <w:bottom w:w="80" w:type="dxa"/>
              <w:end w:w="90" w:type="dxa"/>
            </w:tcMar>
            <w:shd w:fill="17365D"/>
          </w:tcPr>
          <w:p>
            <w:pPr>
              <w:spacing w:after="0"/>
            </w:pPr>
            <w:r/>
            <w:r>
              <w:rPr>
                <w:rFonts w:ascii="Carlito" w:hAnsi="Carlito" w:eastAsia="Carlito"/>
                <w:b/>
                <w:color w:val="FFFFFF"/>
                <w:sz w:val="17"/>
              </w:rPr>
              <w:t>Fonctions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Utilisateurs/rôles</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Inviter, désactiver, scopes et MFA</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Catalogues</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Pompes, matériaux, fluides et modèles approuvés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Standards/règles</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Éditions, paramètres, validation et activation</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Templates</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Rapports, logos, langues et versions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Jobs</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Files, erreurs, retry et quotas</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Audit</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Actions, sécurité, exports et approbations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Sauvegardes</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État, historique et test de restauration</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Connecteurs futurs</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Endpoints, certificats, tags et santé</w:t>
            </w:r>
          </w:p>
        </w:tc>
      </w:tr>
    </w:tbl>
    <w:p>
      <w:pPr>
        <w:spacing w:after="40"/>
      </w:pPr>
    </w:p>
    <w:p>
      <w:pPr>
        <w:pStyle w:val="Heading1"/>
      </w:pPr>
      <w:r>
        <w:t>10. Catalogue des graphiques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6"/>
              </w:rPr>
              <w:t>Graphique</w:t>
            </w:r>
          </w:p>
        </w:tc>
        <w:tc>
          <w:tcPr>
            <w:tcW w:type="dxa" w:w="4252"/>
            <w:vAlign w:val="center"/>
            <w:tcMar>
              <w:top w:w="80" w:type="dxa"/>
              <w:start w:w="90" w:type="dxa"/>
              <w:bottom w:w="80" w:type="dxa"/>
              <w:end w:w="90" w:type="dxa"/>
            </w:tcMar>
            <w:shd w:fill="17365D"/>
          </w:tcPr>
          <w:p>
            <w:pPr>
              <w:spacing w:after="0"/>
            </w:pPr>
            <w:r/>
            <w:r>
              <w:rPr>
                <w:rFonts w:ascii="Carlito" w:hAnsi="Carlito" w:eastAsia="Carlito"/>
                <w:b/>
                <w:color w:val="FFFFFF"/>
                <w:sz w:val="16"/>
              </w:rPr>
              <w:t>Axes/couches</w:t>
            </w:r>
          </w:p>
        </w:tc>
        <w:tc>
          <w:tcPr>
            <w:tcW w:type="dxa" w:w="2778"/>
            <w:vAlign w:val="center"/>
            <w:tcMar>
              <w:top w:w="80" w:type="dxa"/>
              <w:start w:w="90" w:type="dxa"/>
              <w:bottom w:w="80" w:type="dxa"/>
              <w:end w:w="90" w:type="dxa"/>
            </w:tcMar>
            <w:shd w:fill="17365D"/>
          </w:tcPr>
          <w:p>
            <w:pPr>
              <w:spacing w:after="0"/>
            </w:pPr>
            <w:r/>
            <w:r>
              <w:rPr>
                <w:rFonts w:ascii="Carlito" w:hAnsi="Carlito" w:eastAsia="Carlito"/>
                <w:b/>
                <w:color w:val="FFFFFF"/>
                <w:sz w:val="16"/>
              </w:rPr>
              <w:t>Usage</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Profil hydraulique</w:t>
            </w:r>
          </w:p>
        </w:tc>
        <w:tc>
          <w:tcPr>
            <w:tcW w:type="dxa" w:w="4252"/>
            <w:vAlign w:val="center"/>
            <w:tcMar>
              <w:top w:w="80" w:type="dxa"/>
              <w:start w:w="90" w:type="dxa"/>
              <w:bottom w:w="80" w:type="dxa"/>
              <w:end w:w="90" w:type="dxa"/>
            </w:tcMar>
            <w:shd w:fill="F2F2F2"/>
          </w:tcPr>
          <w:p>
            <w:pPr>
              <w:spacing w:after="0"/>
            </w:pPr>
            <w:r/>
            <w:r>
              <w:rPr>
                <w:rFonts w:ascii="Carlito" w:hAnsi="Carlito" w:eastAsia="Carlito"/>
                <w:b w:val="0"/>
                <w:color w:val="243447"/>
                <w:sz w:val="16"/>
              </w:rPr>
              <w:t>x : chainage ; y : altitude/charge ; pression secondaire</w:t>
            </w:r>
          </w:p>
        </w:tc>
        <w:tc>
          <w:tcPr>
            <w:tcW w:type="dxa" w:w="2778"/>
            <w:vAlign w:val="center"/>
            <w:tcMar>
              <w:top w:w="80" w:type="dxa"/>
              <w:start w:w="90" w:type="dxa"/>
              <w:bottom w:w="80" w:type="dxa"/>
              <w:end w:w="90" w:type="dxa"/>
            </w:tcMar>
            <w:shd w:fill="F2F2F2"/>
          </w:tcPr>
          <w:p>
            <w:pPr>
              <w:spacing w:after="0"/>
            </w:pPr>
            <w:r/>
            <w:r>
              <w:rPr>
                <w:rFonts w:ascii="Carlito" w:hAnsi="Carlito" w:eastAsia="Carlito"/>
                <w:b w:val="0"/>
                <w:color w:val="243447"/>
                <w:sz w:val="16"/>
              </w:rPr>
              <w:t>Pipeline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Pression vs distance</w:t>
            </w:r>
          </w:p>
        </w:tc>
        <w:tc>
          <w:tcPr>
            <w:tcW w:type="dxa" w:w="4252"/>
            <w:vAlign w:val="center"/>
            <w:tcMar>
              <w:top w:w="80" w:type="dxa"/>
              <w:start w:w="90" w:type="dxa"/>
              <w:bottom w:w="80" w:type="dxa"/>
              <w:end w:w="90" w:type="dxa"/>
            </w:tcMar>
          </w:tcPr>
          <w:p>
            <w:pPr>
              <w:spacing w:after="0"/>
            </w:pPr>
            <w:r/>
            <w:r>
              <w:rPr>
                <w:rFonts w:ascii="Carlito" w:hAnsi="Carlito" w:eastAsia="Carlito"/>
                <w:b w:val="0"/>
                <w:color w:val="243447"/>
                <w:sz w:val="16"/>
              </w:rPr>
              <w:t>pression, MAOP/minimum, zones et stations</w:t>
            </w:r>
          </w:p>
        </w:tc>
        <w:tc>
          <w:tcPr>
            <w:tcW w:type="dxa" w:w="2778"/>
            <w:vAlign w:val="center"/>
            <w:tcMar>
              <w:top w:w="80" w:type="dxa"/>
              <w:start w:w="90" w:type="dxa"/>
              <w:bottom w:w="80" w:type="dxa"/>
              <w:end w:w="90" w:type="dxa"/>
            </w:tcMar>
          </w:tcPr>
          <w:p>
            <w:pPr>
              <w:spacing w:after="0"/>
            </w:pPr>
            <w:r/>
            <w:r>
              <w:rPr>
                <w:rFonts w:ascii="Carlito" w:hAnsi="Carlito" w:eastAsia="Carlito"/>
                <w:b w:val="0"/>
                <w:color w:val="243447"/>
                <w:sz w:val="16"/>
              </w:rPr>
              <w:t>Vérification</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Courbe pompe-réseau</w:t>
            </w:r>
          </w:p>
        </w:tc>
        <w:tc>
          <w:tcPr>
            <w:tcW w:type="dxa" w:w="4252"/>
            <w:vAlign w:val="center"/>
            <w:tcMar>
              <w:top w:w="80" w:type="dxa"/>
              <w:start w:w="90" w:type="dxa"/>
              <w:bottom w:w="80" w:type="dxa"/>
              <w:end w:w="90" w:type="dxa"/>
            </w:tcMar>
            <w:shd w:fill="F2F2F2"/>
          </w:tcPr>
          <w:p>
            <w:pPr>
              <w:spacing w:after="0"/>
            </w:pPr>
            <w:r/>
            <w:r>
              <w:rPr>
                <w:rFonts w:ascii="Carlito" w:hAnsi="Carlito" w:eastAsia="Carlito"/>
                <w:b w:val="0"/>
                <w:color w:val="243447"/>
                <w:sz w:val="16"/>
              </w:rPr>
              <w:t>Q-H, points fabricant, operating point</w:t>
            </w:r>
          </w:p>
        </w:tc>
        <w:tc>
          <w:tcPr>
            <w:tcW w:type="dxa" w:w="2778"/>
            <w:vAlign w:val="center"/>
            <w:tcMar>
              <w:top w:w="80" w:type="dxa"/>
              <w:start w:w="90" w:type="dxa"/>
              <w:bottom w:w="80" w:type="dxa"/>
              <w:end w:w="90" w:type="dxa"/>
            </w:tcMar>
            <w:shd w:fill="F2F2F2"/>
          </w:tcPr>
          <w:p>
            <w:pPr>
              <w:spacing w:after="0"/>
            </w:pPr>
            <w:r/>
            <w:r>
              <w:rPr>
                <w:rFonts w:ascii="Carlito" w:hAnsi="Carlito" w:eastAsia="Carlito"/>
                <w:b w:val="0"/>
                <w:color w:val="243447"/>
                <w:sz w:val="16"/>
              </w:rPr>
              <w:t>Sélection</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Rendement/puissance/NPSH</w:t>
            </w:r>
          </w:p>
        </w:tc>
        <w:tc>
          <w:tcPr>
            <w:tcW w:type="dxa" w:w="4252"/>
            <w:vAlign w:val="center"/>
            <w:tcMar>
              <w:top w:w="80" w:type="dxa"/>
              <w:start w:w="90" w:type="dxa"/>
              <w:bottom w:w="80" w:type="dxa"/>
              <w:end w:w="90" w:type="dxa"/>
            </w:tcMar>
          </w:tcPr>
          <w:p>
            <w:pPr>
              <w:spacing w:after="0"/>
            </w:pPr>
            <w:r/>
            <w:r>
              <w:rPr>
                <w:rFonts w:ascii="Carlito" w:hAnsi="Carlito" w:eastAsia="Carlito"/>
                <w:b w:val="0"/>
                <w:color w:val="243447"/>
                <w:sz w:val="16"/>
              </w:rPr>
              <w:t>Q vs courbes multiples</w:t>
            </w:r>
          </w:p>
        </w:tc>
        <w:tc>
          <w:tcPr>
            <w:tcW w:type="dxa" w:w="2778"/>
            <w:vAlign w:val="center"/>
            <w:tcMar>
              <w:top w:w="80" w:type="dxa"/>
              <w:start w:w="90" w:type="dxa"/>
              <w:bottom w:w="80" w:type="dxa"/>
              <w:end w:w="90" w:type="dxa"/>
            </w:tcMar>
          </w:tcPr>
          <w:p>
            <w:pPr>
              <w:spacing w:after="0"/>
            </w:pPr>
            <w:r/>
            <w:r>
              <w:rPr>
                <w:rFonts w:ascii="Carlito" w:hAnsi="Carlito" w:eastAsia="Carlito"/>
                <w:b w:val="0"/>
                <w:color w:val="243447"/>
                <w:sz w:val="16"/>
              </w:rPr>
              <w:t>Enveloppe pompe</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Comparaison scénarios</w:t>
            </w:r>
          </w:p>
        </w:tc>
        <w:tc>
          <w:tcPr>
            <w:tcW w:type="dxa" w:w="4252"/>
            <w:vAlign w:val="center"/>
            <w:tcMar>
              <w:top w:w="80" w:type="dxa"/>
              <w:start w:w="90" w:type="dxa"/>
              <w:bottom w:w="80" w:type="dxa"/>
              <w:end w:w="90" w:type="dxa"/>
            </w:tcMar>
            <w:shd w:fill="F2F2F2"/>
          </w:tcPr>
          <w:p>
            <w:pPr>
              <w:spacing w:after="0"/>
            </w:pPr>
            <w:r/>
            <w:r>
              <w:rPr>
                <w:rFonts w:ascii="Carlito" w:hAnsi="Carlito" w:eastAsia="Carlito"/>
                <w:b w:val="0"/>
                <w:color w:val="243447"/>
                <w:sz w:val="16"/>
              </w:rPr>
              <w:t>barres/radar contrôlé/table</w:t>
            </w:r>
          </w:p>
        </w:tc>
        <w:tc>
          <w:tcPr>
            <w:tcW w:type="dxa" w:w="2778"/>
            <w:vAlign w:val="center"/>
            <w:tcMar>
              <w:top w:w="80" w:type="dxa"/>
              <w:start w:w="90" w:type="dxa"/>
              <w:bottom w:w="80" w:type="dxa"/>
              <w:end w:w="90" w:type="dxa"/>
            </w:tcMar>
            <w:shd w:fill="F2F2F2"/>
          </w:tcPr>
          <w:p>
            <w:pPr>
              <w:spacing w:after="0"/>
            </w:pPr>
            <w:r/>
            <w:r>
              <w:rPr>
                <w:rFonts w:ascii="Carlito" w:hAnsi="Carlito" w:eastAsia="Carlito"/>
                <w:b w:val="0"/>
                <w:color w:val="243447"/>
                <w:sz w:val="16"/>
              </w:rPr>
              <w:t>Décision</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Niveaux de bacs</w:t>
            </w:r>
          </w:p>
        </w:tc>
        <w:tc>
          <w:tcPr>
            <w:tcW w:type="dxa" w:w="4252"/>
            <w:vAlign w:val="center"/>
            <w:tcMar>
              <w:top w:w="80" w:type="dxa"/>
              <w:start w:w="90" w:type="dxa"/>
              <w:bottom w:w="80" w:type="dxa"/>
              <w:end w:w="90" w:type="dxa"/>
            </w:tcMar>
          </w:tcPr>
          <w:p>
            <w:pPr>
              <w:spacing w:after="0"/>
            </w:pPr>
            <w:r/>
            <w:r>
              <w:rPr>
                <w:rFonts w:ascii="Carlito" w:hAnsi="Carlito" w:eastAsia="Carlito"/>
                <w:b w:val="0"/>
                <w:color w:val="243447"/>
                <w:sz w:val="16"/>
              </w:rPr>
              <w:t>temps vs niveaux et seuils</w:t>
            </w:r>
          </w:p>
        </w:tc>
        <w:tc>
          <w:tcPr>
            <w:tcW w:type="dxa" w:w="2778"/>
            <w:vAlign w:val="center"/>
            <w:tcMar>
              <w:top w:w="80" w:type="dxa"/>
              <w:start w:w="90" w:type="dxa"/>
              <w:bottom w:w="80" w:type="dxa"/>
              <w:end w:w="90" w:type="dxa"/>
            </w:tcMar>
          </w:tcPr>
          <w:p>
            <w:pPr>
              <w:spacing w:after="0"/>
            </w:pPr>
            <w:r/>
            <w:r>
              <w:rPr>
                <w:rFonts w:ascii="Carlito" w:hAnsi="Carlito" w:eastAsia="Carlito"/>
                <w:b w:val="0"/>
                <w:color w:val="243447"/>
                <w:sz w:val="16"/>
              </w:rPr>
              <w:t>Transfert</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Débit/pression transfert</w:t>
            </w:r>
          </w:p>
        </w:tc>
        <w:tc>
          <w:tcPr>
            <w:tcW w:type="dxa" w:w="4252"/>
            <w:vAlign w:val="center"/>
            <w:tcMar>
              <w:top w:w="80" w:type="dxa"/>
              <w:start w:w="90" w:type="dxa"/>
              <w:bottom w:w="80" w:type="dxa"/>
              <w:end w:w="90" w:type="dxa"/>
            </w:tcMar>
            <w:shd w:fill="F2F2F2"/>
          </w:tcPr>
          <w:p>
            <w:pPr>
              <w:spacing w:after="0"/>
            </w:pPr>
            <w:r/>
            <w:r>
              <w:rPr>
                <w:rFonts w:ascii="Carlito" w:hAnsi="Carlito" w:eastAsia="Carlito"/>
                <w:b w:val="0"/>
                <w:color w:val="243447"/>
                <w:sz w:val="16"/>
              </w:rPr>
              <w:t>temps vs variables</w:t>
            </w:r>
          </w:p>
        </w:tc>
        <w:tc>
          <w:tcPr>
            <w:tcW w:type="dxa" w:w="2778"/>
            <w:vAlign w:val="center"/>
            <w:tcMar>
              <w:top w:w="80" w:type="dxa"/>
              <w:start w:w="90" w:type="dxa"/>
              <w:bottom w:w="80" w:type="dxa"/>
              <w:end w:w="90" w:type="dxa"/>
            </w:tcMar>
            <w:shd w:fill="F2F2F2"/>
          </w:tcPr>
          <w:p>
            <w:pPr>
              <w:spacing w:after="0"/>
            </w:pPr>
            <w:r/>
            <w:r>
              <w:rPr>
                <w:rFonts w:ascii="Carlito" w:hAnsi="Carlito" w:eastAsia="Carlito"/>
                <w:b w:val="0"/>
                <w:color w:val="243447"/>
                <w:sz w:val="16"/>
              </w:rPr>
              <w:t>Dynamique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Bilan matière</w:t>
            </w:r>
          </w:p>
        </w:tc>
        <w:tc>
          <w:tcPr>
            <w:tcW w:type="dxa" w:w="4252"/>
            <w:vAlign w:val="center"/>
            <w:tcMar>
              <w:top w:w="80" w:type="dxa"/>
              <w:start w:w="90" w:type="dxa"/>
              <w:bottom w:w="80" w:type="dxa"/>
              <w:end w:w="90" w:type="dxa"/>
            </w:tcMar>
          </w:tcPr>
          <w:p>
            <w:pPr>
              <w:spacing w:after="0"/>
            </w:pPr>
            <w:r/>
            <w:r>
              <w:rPr>
                <w:rFonts w:ascii="Carlito" w:hAnsi="Carlito" w:eastAsia="Carlito"/>
                <w:b w:val="0"/>
                <w:color w:val="243447"/>
                <w:sz w:val="16"/>
              </w:rPr>
              <w:t>entrées/sorties/stock/écart</w:t>
            </w:r>
          </w:p>
        </w:tc>
        <w:tc>
          <w:tcPr>
            <w:tcW w:type="dxa" w:w="2778"/>
            <w:vAlign w:val="center"/>
            <w:tcMar>
              <w:top w:w="80" w:type="dxa"/>
              <w:start w:w="90" w:type="dxa"/>
              <w:bottom w:w="80" w:type="dxa"/>
              <w:end w:w="90" w:type="dxa"/>
            </w:tcMar>
          </w:tcPr>
          <w:p>
            <w:pPr>
              <w:spacing w:after="0"/>
            </w:pPr>
            <w:r/>
            <w:r>
              <w:rPr>
                <w:rFonts w:ascii="Carlito" w:hAnsi="Carlito" w:eastAsia="Carlito"/>
                <w:b w:val="0"/>
                <w:color w:val="243447"/>
                <w:sz w:val="16"/>
              </w:rPr>
              <w:t>Comptage</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Séries SCADA futures</w:t>
            </w:r>
          </w:p>
        </w:tc>
        <w:tc>
          <w:tcPr>
            <w:tcW w:type="dxa" w:w="4252"/>
            <w:vAlign w:val="center"/>
            <w:tcMar>
              <w:top w:w="80" w:type="dxa"/>
              <w:start w:w="90" w:type="dxa"/>
              <w:bottom w:w="80" w:type="dxa"/>
              <w:end w:w="90" w:type="dxa"/>
            </w:tcMar>
            <w:shd w:fill="F2F2F2"/>
          </w:tcPr>
          <w:p>
            <w:pPr>
              <w:spacing w:after="0"/>
            </w:pPr>
            <w:r/>
            <w:r>
              <w:rPr>
                <w:rFonts w:ascii="Carlito" w:hAnsi="Carlito" w:eastAsia="Carlito"/>
                <w:b w:val="0"/>
                <w:color w:val="243447"/>
                <w:sz w:val="16"/>
              </w:rPr>
              <w:t>temps, qualité, événements</w:t>
            </w:r>
          </w:p>
        </w:tc>
        <w:tc>
          <w:tcPr>
            <w:tcW w:type="dxa" w:w="2778"/>
            <w:vAlign w:val="center"/>
            <w:tcMar>
              <w:top w:w="80" w:type="dxa"/>
              <w:start w:w="90" w:type="dxa"/>
              <w:bottom w:w="80" w:type="dxa"/>
              <w:end w:w="90" w:type="dxa"/>
            </w:tcMar>
            <w:shd w:fill="F2F2F2"/>
          </w:tcPr>
          <w:p>
            <w:pPr>
              <w:spacing w:after="0"/>
            </w:pPr>
            <w:r/>
            <w:r>
              <w:rPr>
                <w:rFonts w:ascii="Carlito" w:hAnsi="Carlito" w:eastAsia="Carlito"/>
                <w:b w:val="0"/>
                <w:color w:val="243447"/>
                <w:sz w:val="16"/>
              </w:rPr>
              <w:t>Analyse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Carte compresseur future</w:t>
            </w:r>
          </w:p>
        </w:tc>
        <w:tc>
          <w:tcPr>
            <w:tcW w:type="dxa" w:w="4252"/>
            <w:vAlign w:val="center"/>
            <w:tcMar>
              <w:top w:w="80" w:type="dxa"/>
              <w:start w:w="90" w:type="dxa"/>
              <w:bottom w:w="80" w:type="dxa"/>
              <w:end w:w="90" w:type="dxa"/>
            </w:tcMar>
          </w:tcPr>
          <w:p>
            <w:pPr>
              <w:spacing w:after="0"/>
            </w:pPr>
            <w:r/>
            <w:r>
              <w:rPr>
                <w:rFonts w:ascii="Carlito" w:hAnsi="Carlito" w:eastAsia="Carlito"/>
                <w:b w:val="0"/>
                <w:color w:val="243447"/>
                <w:sz w:val="16"/>
              </w:rPr>
              <w:t>débit corrigé/rapport, surge/choke</w:t>
            </w:r>
          </w:p>
        </w:tc>
        <w:tc>
          <w:tcPr>
            <w:tcW w:type="dxa" w:w="2778"/>
            <w:vAlign w:val="center"/>
            <w:tcMar>
              <w:top w:w="80" w:type="dxa"/>
              <w:start w:w="90" w:type="dxa"/>
              <w:bottom w:w="80" w:type="dxa"/>
              <w:end w:w="90" w:type="dxa"/>
            </w:tcMar>
          </w:tcPr>
          <w:p>
            <w:pPr>
              <w:spacing w:after="0"/>
            </w:pPr>
            <w:r/>
            <w:r>
              <w:rPr>
                <w:rFonts w:ascii="Carlito" w:hAnsi="Carlito" w:eastAsia="Carlito"/>
                <w:b w:val="0"/>
                <w:color w:val="243447"/>
                <w:sz w:val="16"/>
              </w:rPr>
              <w:t>Gaz</w:t>
            </w:r>
          </w:p>
        </w:tc>
      </w:tr>
    </w:tbl>
    <w:p>
      <w:pPr>
        <w:spacing w:after="40"/>
      </w:pPr>
    </w:p>
    <w:p>
      <w:pPr>
        <w:pStyle w:val="Heading1"/>
      </w:pPr>
      <w:r>
        <w:t>11. Catalogue des rapports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417"/>
            <w:vAlign w:val="center"/>
            <w:tcMar>
              <w:top w:w="80" w:type="dxa"/>
              <w:start w:w="90" w:type="dxa"/>
              <w:bottom w:w="80" w:type="dxa"/>
              <w:end w:w="90" w:type="dxa"/>
            </w:tcMar>
            <w:shd w:fill="17365D"/>
          </w:tcPr>
          <w:p>
            <w:pPr>
              <w:spacing w:after="0"/>
            </w:pPr>
            <w:r/>
            <w:r>
              <w:rPr>
                <w:rFonts w:ascii="Carlito" w:hAnsi="Carlito" w:eastAsia="Carlito"/>
                <w:b/>
                <w:color w:val="FFFFFF"/>
                <w:sz w:val="16"/>
              </w:rPr>
              <w:t>Code</w:t>
            </w:r>
          </w:p>
        </w:tc>
        <w:tc>
          <w:tcPr>
            <w:tcW w:type="dxa" w:w="5726"/>
            <w:vAlign w:val="center"/>
            <w:tcMar>
              <w:top w:w="80" w:type="dxa"/>
              <w:start w:w="90" w:type="dxa"/>
              <w:bottom w:w="80" w:type="dxa"/>
              <w:end w:w="90" w:type="dxa"/>
            </w:tcMar>
            <w:shd w:fill="17365D"/>
          </w:tcPr>
          <w:p>
            <w:pPr>
              <w:spacing w:after="0"/>
            </w:pPr>
            <w:r/>
            <w:r>
              <w:rPr>
                <w:rFonts w:ascii="Carlito" w:hAnsi="Carlito" w:eastAsia="Carlito"/>
                <w:b/>
                <w:color w:val="FFFFFF"/>
                <w:sz w:val="16"/>
              </w:rPr>
              <w:t>Rapport</w:t>
            </w:r>
          </w:p>
        </w:tc>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Phase</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RPT-01</w:t>
            </w:r>
          </w:p>
        </w:tc>
        <w:tc>
          <w:tcPr>
            <w:tcW w:type="dxa" w:w="5726"/>
            <w:vAlign w:val="center"/>
            <w:tcMar>
              <w:top w:w="80" w:type="dxa"/>
              <w:start w:w="90" w:type="dxa"/>
              <w:bottom w:w="80" w:type="dxa"/>
              <w:end w:w="90" w:type="dxa"/>
            </w:tcMar>
            <w:shd w:fill="F2F2F2"/>
          </w:tcPr>
          <w:p>
            <w:pPr>
              <w:spacing w:after="0"/>
            </w:pPr>
            <w:r/>
            <w:r>
              <w:rPr>
                <w:rFonts w:ascii="Carlito" w:hAnsi="Carlito" w:eastAsia="Carlito"/>
                <w:b w:val="0"/>
                <w:color w:val="243447"/>
                <w:sz w:val="16"/>
              </w:rPr>
              <w:t>Fiche projet et hypothèses</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MVP</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RPT-02</w:t>
            </w:r>
          </w:p>
        </w:tc>
        <w:tc>
          <w:tcPr>
            <w:tcW w:type="dxa" w:w="5726"/>
            <w:vAlign w:val="center"/>
            <w:tcMar>
              <w:top w:w="80" w:type="dxa"/>
              <w:start w:w="90" w:type="dxa"/>
              <w:bottom w:w="80" w:type="dxa"/>
              <w:end w:w="90" w:type="dxa"/>
            </w:tcMar>
          </w:tcPr>
          <w:p>
            <w:pPr>
              <w:spacing w:after="0"/>
            </w:pPr>
            <w:r/>
            <w:r>
              <w:rPr>
                <w:rFonts w:ascii="Carlito" w:hAnsi="Carlito" w:eastAsia="Carlito"/>
                <w:b w:val="0"/>
                <w:color w:val="243447"/>
                <w:sz w:val="16"/>
              </w:rPr>
              <w:t>Note de calcul hydraulique</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MVP</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RPT-03</w:t>
            </w:r>
          </w:p>
        </w:tc>
        <w:tc>
          <w:tcPr>
            <w:tcW w:type="dxa" w:w="5726"/>
            <w:vAlign w:val="center"/>
            <w:tcMar>
              <w:top w:w="80" w:type="dxa"/>
              <w:start w:w="90" w:type="dxa"/>
              <w:bottom w:w="80" w:type="dxa"/>
              <w:end w:w="90" w:type="dxa"/>
            </w:tcMar>
            <w:shd w:fill="F2F2F2"/>
          </w:tcPr>
          <w:p>
            <w:pPr>
              <w:spacing w:after="0"/>
            </w:pPr>
            <w:r/>
            <w:r>
              <w:rPr>
                <w:rFonts w:ascii="Carlito" w:hAnsi="Carlito" w:eastAsia="Carlito"/>
                <w:b w:val="0"/>
                <w:color w:val="243447"/>
                <w:sz w:val="16"/>
              </w:rPr>
              <w:t>Comparaison de scénarios</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MVP</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RPT-04</w:t>
            </w:r>
          </w:p>
        </w:tc>
        <w:tc>
          <w:tcPr>
            <w:tcW w:type="dxa" w:w="5726"/>
            <w:vAlign w:val="center"/>
            <w:tcMar>
              <w:top w:w="80" w:type="dxa"/>
              <w:start w:w="90" w:type="dxa"/>
              <w:bottom w:w="80" w:type="dxa"/>
              <w:end w:w="90" w:type="dxa"/>
            </w:tcMar>
          </w:tcPr>
          <w:p>
            <w:pPr>
              <w:spacing w:after="0"/>
            </w:pPr>
            <w:r/>
            <w:r>
              <w:rPr>
                <w:rFonts w:ascii="Carlito" w:hAnsi="Carlito" w:eastAsia="Carlito"/>
                <w:b w:val="0"/>
                <w:color w:val="243447"/>
                <w:sz w:val="16"/>
              </w:rPr>
              <w:t>Rapport station/pompes</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MVP</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RPT-05</w:t>
            </w:r>
          </w:p>
        </w:tc>
        <w:tc>
          <w:tcPr>
            <w:tcW w:type="dxa" w:w="5726"/>
            <w:vAlign w:val="center"/>
            <w:tcMar>
              <w:top w:w="80" w:type="dxa"/>
              <w:start w:w="90" w:type="dxa"/>
              <w:bottom w:w="80" w:type="dxa"/>
              <w:end w:w="90" w:type="dxa"/>
            </w:tcMar>
            <w:shd w:fill="F2F2F2"/>
          </w:tcPr>
          <w:p>
            <w:pPr>
              <w:spacing w:after="0"/>
            </w:pPr>
            <w:r/>
            <w:r>
              <w:rPr>
                <w:rFonts w:ascii="Carlito" w:hAnsi="Carlito" w:eastAsia="Carlito"/>
                <w:b w:val="0"/>
                <w:color w:val="243447"/>
                <w:sz w:val="16"/>
              </w:rPr>
              <w:t>Simulation de transfert</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MVP</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RPT-06</w:t>
            </w:r>
          </w:p>
        </w:tc>
        <w:tc>
          <w:tcPr>
            <w:tcW w:type="dxa" w:w="5726"/>
            <w:vAlign w:val="center"/>
            <w:tcMar>
              <w:top w:w="80" w:type="dxa"/>
              <w:start w:w="90" w:type="dxa"/>
              <w:bottom w:w="80" w:type="dxa"/>
              <w:end w:w="90" w:type="dxa"/>
            </w:tcMar>
          </w:tcPr>
          <w:p>
            <w:pPr>
              <w:spacing w:after="0"/>
            </w:pPr>
            <w:r/>
            <w:r>
              <w:rPr>
                <w:rFonts w:ascii="Carlito" w:hAnsi="Carlito" w:eastAsia="Carlito"/>
                <w:b w:val="0"/>
                <w:color w:val="243447"/>
                <w:sz w:val="16"/>
              </w:rPr>
              <w:t>Bilan matière</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MVP</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RPT-07</w:t>
            </w:r>
          </w:p>
        </w:tc>
        <w:tc>
          <w:tcPr>
            <w:tcW w:type="dxa" w:w="5726"/>
            <w:vAlign w:val="center"/>
            <w:tcMar>
              <w:top w:w="80" w:type="dxa"/>
              <w:start w:w="90" w:type="dxa"/>
              <w:bottom w:w="80" w:type="dxa"/>
              <w:end w:w="90" w:type="dxa"/>
            </w:tcMar>
            <w:shd w:fill="F2F2F2"/>
          </w:tcPr>
          <w:p>
            <w:pPr>
              <w:spacing w:after="0"/>
            </w:pPr>
            <w:r/>
            <w:r>
              <w:rPr>
                <w:rFonts w:ascii="Carlito" w:hAnsi="Carlito" w:eastAsia="Carlito"/>
                <w:b w:val="0"/>
                <w:color w:val="243447"/>
                <w:sz w:val="16"/>
              </w:rPr>
              <w:t>Qualité des données</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V1</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RPT-08</w:t>
            </w:r>
          </w:p>
        </w:tc>
        <w:tc>
          <w:tcPr>
            <w:tcW w:type="dxa" w:w="5726"/>
            <w:vAlign w:val="center"/>
            <w:tcMar>
              <w:top w:w="80" w:type="dxa"/>
              <w:start w:w="90" w:type="dxa"/>
              <w:bottom w:w="80" w:type="dxa"/>
              <w:end w:w="90" w:type="dxa"/>
            </w:tcMar>
          </w:tcPr>
          <w:p>
            <w:pPr>
              <w:spacing w:after="0"/>
            </w:pPr>
            <w:r/>
            <w:r>
              <w:rPr>
                <w:rFonts w:ascii="Carlito" w:hAnsi="Carlito" w:eastAsia="Carlito"/>
                <w:b w:val="0"/>
                <w:color w:val="243447"/>
                <w:sz w:val="16"/>
              </w:rPr>
              <w:t>Calibration mesure-modèle</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V1</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RPT-09</w:t>
            </w:r>
          </w:p>
        </w:tc>
        <w:tc>
          <w:tcPr>
            <w:tcW w:type="dxa" w:w="5726"/>
            <w:vAlign w:val="center"/>
            <w:tcMar>
              <w:top w:w="80" w:type="dxa"/>
              <w:start w:w="90" w:type="dxa"/>
              <w:bottom w:w="80" w:type="dxa"/>
              <w:end w:w="90" w:type="dxa"/>
            </w:tcMar>
            <w:shd w:fill="F2F2F2"/>
          </w:tcPr>
          <w:p>
            <w:pPr>
              <w:spacing w:after="0"/>
            </w:pPr>
            <w:r/>
            <w:r>
              <w:rPr>
                <w:rFonts w:ascii="Carlito" w:hAnsi="Carlito" w:eastAsia="Carlito"/>
                <w:b w:val="0"/>
                <w:color w:val="243447"/>
                <w:sz w:val="16"/>
              </w:rPr>
              <w:t>Transitoire/coup de bélier</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V2</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RPT-10</w:t>
            </w:r>
          </w:p>
        </w:tc>
        <w:tc>
          <w:tcPr>
            <w:tcW w:type="dxa" w:w="5726"/>
            <w:vAlign w:val="center"/>
            <w:tcMar>
              <w:top w:w="80" w:type="dxa"/>
              <w:start w:w="90" w:type="dxa"/>
              <w:bottom w:w="80" w:type="dxa"/>
              <w:end w:w="90" w:type="dxa"/>
            </w:tcMar>
          </w:tcPr>
          <w:p>
            <w:pPr>
              <w:spacing w:after="0"/>
            </w:pPr>
            <w:r/>
            <w:r>
              <w:rPr>
                <w:rFonts w:ascii="Carlito" w:hAnsi="Carlito" w:eastAsia="Carlito"/>
                <w:b w:val="0"/>
                <w:color w:val="243447"/>
                <w:sz w:val="16"/>
              </w:rPr>
              <w:t>Transport multiproduit</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V2</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RPT-11</w:t>
            </w:r>
          </w:p>
        </w:tc>
        <w:tc>
          <w:tcPr>
            <w:tcW w:type="dxa" w:w="5726"/>
            <w:vAlign w:val="center"/>
            <w:tcMar>
              <w:top w:w="80" w:type="dxa"/>
              <w:start w:w="90" w:type="dxa"/>
              <w:bottom w:w="80" w:type="dxa"/>
              <w:end w:w="90" w:type="dxa"/>
            </w:tcMar>
            <w:shd w:fill="F2F2F2"/>
          </w:tcPr>
          <w:p>
            <w:pPr>
              <w:spacing w:after="0"/>
            </w:pPr>
            <w:r/>
            <w:r>
              <w:rPr>
                <w:rFonts w:ascii="Carlito" w:hAnsi="Carlito" w:eastAsia="Carlito"/>
                <w:b w:val="0"/>
                <w:color w:val="243447"/>
                <w:sz w:val="16"/>
              </w:rPr>
              <w:t>Gazoduc/compresseurs</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V4</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RPT-12</w:t>
            </w:r>
          </w:p>
        </w:tc>
        <w:tc>
          <w:tcPr>
            <w:tcW w:type="dxa" w:w="5726"/>
            <w:vAlign w:val="center"/>
            <w:tcMar>
              <w:top w:w="80" w:type="dxa"/>
              <w:start w:w="90" w:type="dxa"/>
              <w:bottom w:w="80" w:type="dxa"/>
              <w:end w:w="90" w:type="dxa"/>
            </w:tcMar>
          </w:tcPr>
          <w:p>
            <w:pPr>
              <w:spacing w:after="0"/>
            </w:pPr>
            <w:r/>
            <w:r>
              <w:rPr>
                <w:rFonts w:ascii="Carlito" w:hAnsi="Carlito" w:eastAsia="Carlito"/>
                <w:b w:val="0"/>
                <w:color w:val="243447"/>
                <w:sz w:val="16"/>
              </w:rPr>
              <w:t>Alerte et enquête fuite</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V5</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RPT-13</w:t>
            </w:r>
          </w:p>
        </w:tc>
        <w:tc>
          <w:tcPr>
            <w:tcW w:type="dxa" w:w="5726"/>
            <w:vAlign w:val="center"/>
            <w:tcMar>
              <w:top w:w="80" w:type="dxa"/>
              <w:start w:w="90" w:type="dxa"/>
              <w:bottom w:w="80" w:type="dxa"/>
              <w:end w:w="90" w:type="dxa"/>
            </w:tcMar>
            <w:shd w:fill="F2F2F2"/>
          </w:tcPr>
          <w:p>
            <w:pPr>
              <w:spacing w:after="0"/>
            </w:pPr>
            <w:r/>
            <w:r>
              <w:rPr>
                <w:rFonts w:ascii="Carlito" w:hAnsi="Carlito" w:eastAsia="Carlito"/>
                <w:b w:val="0"/>
                <w:color w:val="243447"/>
                <w:sz w:val="16"/>
              </w:rPr>
              <w:t>Validation scientifique</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Toutes</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RPT-14</w:t>
            </w:r>
          </w:p>
        </w:tc>
        <w:tc>
          <w:tcPr>
            <w:tcW w:type="dxa" w:w="5726"/>
            <w:vAlign w:val="center"/>
            <w:tcMar>
              <w:top w:w="80" w:type="dxa"/>
              <w:start w:w="90" w:type="dxa"/>
              <w:bottom w:w="80" w:type="dxa"/>
              <w:end w:w="90" w:type="dxa"/>
            </w:tcMar>
          </w:tcPr>
          <w:p>
            <w:pPr>
              <w:spacing w:after="0"/>
            </w:pPr>
            <w:r/>
            <w:r>
              <w:rPr>
                <w:rFonts w:ascii="Carlito" w:hAnsi="Carlito" w:eastAsia="Carlito"/>
                <w:b w:val="0"/>
                <w:color w:val="243447"/>
                <w:sz w:val="16"/>
              </w:rPr>
              <w:t>Audit et configuration</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Toutes</w:t>
            </w:r>
          </w:p>
        </w:tc>
      </w:tr>
    </w:tbl>
    <w:p>
      <w:pPr>
        <w:spacing w:after="40"/>
      </w:pPr>
    </w:p>
    <w:p>
      <w:pPr>
        <w:pStyle w:val="Heading1"/>
      </w:pPr>
      <w:r>
        <w:t>12. Structure de la note de calcul hydraulique</w:t>
      </w:r>
    </w:p>
    <w:p>
      <w:pPr>
        <w:pStyle w:val="ListNumber"/>
      </w:pPr>
      <w:r>
        <w:t>Page de garde, contrôle du document et approbations.</w:t>
      </w:r>
    </w:p>
    <w:p>
      <w:pPr>
        <w:pStyle w:val="ListNumber"/>
      </w:pPr>
      <w:r>
        <w:t>Objet, périmètre, limites et référentiels.</w:t>
      </w:r>
    </w:p>
    <w:p>
      <w:pPr>
        <w:pStyle w:val="ListNumber"/>
      </w:pPr>
      <w:r>
        <w:t>Description du système et schéma.</w:t>
      </w:r>
    </w:p>
    <w:p>
      <w:pPr>
        <w:pStyle w:val="ListNumber"/>
      </w:pPr>
      <w:r>
        <w:t>Données d’entrée, unités, sources et qualité.</w:t>
      </w:r>
    </w:p>
    <w:p>
      <w:pPr>
        <w:pStyle w:val="ListNumber"/>
      </w:pPr>
      <w:r>
        <w:t>Hypothèses et modèles scientifiques.</w:t>
      </w:r>
    </w:p>
    <w:p>
      <w:pPr>
        <w:pStyle w:val="ListNumber"/>
      </w:pPr>
      <w:r>
        <w:t>Méthode numérique, tolérances et convergence.</w:t>
      </w:r>
    </w:p>
    <w:p>
      <w:pPr>
        <w:pStyle w:val="ListNumber"/>
      </w:pPr>
      <w:r>
        <w:t>Résultats globaux et détaillés.</w:t>
      </w:r>
    </w:p>
    <w:p>
      <w:pPr>
        <w:pStyle w:val="ListNumber"/>
      </w:pPr>
      <w:r>
        <w:t>Stations et pompes.</w:t>
      </w:r>
    </w:p>
    <w:p>
      <w:pPr>
        <w:pStyle w:val="ListNumber"/>
      </w:pPr>
      <w:r>
        <w:t>Profils et graphiques.</w:t>
      </w:r>
    </w:p>
    <w:p>
      <w:pPr>
        <w:pStyle w:val="ListNumber"/>
      </w:pPr>
      <w:r>
        <w:t>Contrôles, violations, avertissements et marges.</w:t>
      </w:r>
    </w:p>
    <w:p>
      <w:pPr>
        <w:pStyle w:val="ListNumber"/>
      </w:pPr>
      <w:r>
        <w:t>Conclusion et recommandations.</w:t>
      </w:r>
    </w:p>
    <w:p>
      <w:pPr>
        <w:pStyle w:val="ListNumber"/>
      </w:pPr>
      <w:r>
        <w:t>Annexes : tables, empreintes, versions et logs résumés.</w:t>
      </w:r>
    </w:p>
    <w:p>
      <w:pPr>
        <w:pStyle w:val="Heading1"/>
      </w:pPr>
      <w:r>
        <w:t>13. Structure du rapport de transfert</w:t>
      </w:r>
    </w:p>
    <w:p>
      <w:pPr>
        <w:pStyle w:val="ListNumber"/>
      </w:pPr>
      <w:r>
        <w:t>Bac source/destination, produit, volume et responsables.</w:t>
      </w:r>
    </w:p>
    <w:p>
      <w:pPr>
        <w:pStyle w:val="ListNumber"/>
      </w:pPr>
      <w:r>
        <w:t>État initial : niveaux, volumes, températures et disponibilités.</w:t>
      </w:r>
    </w:p>
    <w:p>
      <w:pPr>
        <w:pStyle w:val="ListNumber"/>
      </w:pPr>
      <w:r>
        <w:t>Chemin : lignes, vannes, filtres, pompe et compteurs.</w:t>
      </w:r>
    </w:p>
    <w:p>
      <w:pPr>
        <w:pStyle w:val="ListNumber"/>
      </w:pPr>
      <w:r>
        <w:t>Calcul : débit, pression, NPSH, énergie et durée.</w:t>
      </w:r>
    </w:p>
    <w:p>
      <w:pPr>
        <w:pStyle w:val="ListNumber"/>
      </w:pPr>
      <w:r>
        <w:t>Chronologie projetée et seuils de niveau.</w:t>
      </w:r>
    </w:p>
    <w:p>
      <w:pPr>
        <w:pStyle w:val="ListNumber"/>
      </w:pPr>
      <w:r>
        <w:t>Positions/états requis, présentés comme aide et non commande.</w:t>
      </w:r>
    </w:p>
    <w:p>
      <w:pPr>
        <w:pStyle w:val="ListNumber"/>
      </w:pPr>
      <w:r>
        <w:t>Risques et conditions d’arrêt.</w:t>
      </w:r>
    </w:p>
    <w:p>
      <w:pPr>
        <w:pStyle w:val="ListNumber"/>
      </w:pPr>
      <w:r>
        <w:t>Bilan prévu puis bilan réel si données importées.</w:t>
      </w:r>
    </w:p>
    <w:p>
      <w:pPr>
        <w:pStyle w:val="ListNumber"/>
      </w:pPr>
      <w:r>
        <w:t>Écarts, commentaires et approbation.</w:t>
      </w:r>
    </w:p>
    <w:p>
      <w:pPr>
        <w:pStyle w:val="Heading1"/>
      </w:pPr>
      <w:r>
        <w:t>14. Alertes, avertissements et erreurs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701"/>
            <w:vAlign w:val="center"/>
            <w:tcMar>
              <w:top w:w="80" w:type="dxa"/>
              <w:start w:w="90" w:type="dxa"/>
              <w:bottom w:w="80" w:type="dxa"/>
              <w:end w:w="90" w:type="dxa"/>
            </w:tcMar>
            <w:shd w:fill="17365D"/>
          </w:tcPr>
          <w:p>
            <w:pPr>
              <w:spacing w:after="0"/>
            </w:pPr>
            <w:r/>
            <w:r>
              <w:rPr>
                <w:rFonts w:ascii="Carlito" w:hAnsi="Carlito" w:eastAsia="Carlito"/>
                <w:b/>
                <w:color w:val="FFFFFF"/>
                <w:sz w:val="16"/>
              </w:rPr>
              <w:t>Niveau</w:t>
            </w:r>
          </w:p>
        </w:tc>
        <w:tc>
          <w:tcPr>
            <w:tcW w:type="dxa" w:w="3402"/>
            <w:vAlign w:val="center"/>
            <w:tcMar>
              <w:top w:w="80" w:type="dxa"/>
              <w:start w:w="90" w:type="dxa"/>
              <w:bottom w:w="80" w:type="dxa"/>
              <w:end w:w="90" w:type="dxa"/>
            </w:tcMar>
            <w:shd w:fill="17365D"/>
          </w:tcPr>
          <w:p>
            <w:pPr>
              <w:spacing w:after="0"/>
            </w:pPr>
            <w:r/>
            <w:r>
              <w:rPr>
                <w:rFonts w:ascii="Carlito" w:hAnsi="Carlito" w:eastAsia="Carlito"/>
                <w:b/>
                <w:color w:val="FFFFFF"/>
                <w:sz w:val="16"/>
              </w:rPr>
              <w:t>Présentation</w:t>
            </w:r>
          </w:p>
        </w:tc>
        <w:tc>
          <w:tcPr>
            <w:tcW w:type="dxa" w:w="4309"/>
            <w:vAlign w:val="center"/>
            <w:tcMar>
              <w:top w:w="80" w:type="dxa"/>
              <w:start w:w="90" w:type="dxa"/>
              <w:bottom w:w="80" w:type="dxa"/>
              <w:end w:w="90" w:type="dxa"/>
            </w:tcMar>
            <w:shd w:fill="17365D"/>
          </w:tcPr>
          <w:p>
            <w:pPr>
              <w:spacing w:after="0"/>
            </w:pPr>
            <w:r/>
            <w:r>
              <w:rPr>
                <w:rFonts w:ascii="Carlito" w:hAnsi="Carlito" w:eastAsia="Carlito"/>
                <w:b/>
                <w:color w:val="FFFFFF"/>
                <w:sz w:val="16"/>
              </w:rPr>
              <w:t>Exemple</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Info</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Ne bloque pas</w:t>
            </w:r>
          </w:p>
        </w:tc>
        <w:tc>
          <w:tcPr>
            <w:tcW w:type="dxa" w:w="4309"/>
            <w:vAlign w:val="center"/>
            <w:tcMar>
              <w:top w:w="80" w:type="dxa"/>
              <w:start w:w="90" w:type="dxa"/>
              <w:bottom w:w="80" w:type="dxa"/>
              <w:end w:w="90" w:type="dxa"/>
            </w:tcMar>
            <w:shd w:fill="F2F2F2"/>
          </w:tcPr>
          <w:p>
            <w:pPr>
              <w:spacing w:after="0"/>
            </w:pPr>
            <w:r/>
            <w:r>
              <w:rPr>
                <w:rFonts w:ascii="Carlito" w:hAnsi="Carlito" w:eastAsia="Carlito"/>
                <w:b w:val="0"/>
                <w:color w:val="243447"/>
                <w:sz w:val="16"/>
              </w:rPr>
              <w:t>Interpolation utilisée</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Avertissement</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Résultat disponible mais à examiner</w:t>
            </w:r>
          </w:p>
        </w:tc>
        <w:tc>
          <w:tcPr>
            <w:tcW w:type="dxa" w:w="4309"/>
            <w:vAlign w:val="center"/>
            <w:tcMar>
              <w:top w:w="80" w:type="dxa"/>
              <w:start w:w="90" w:type="dxa"/>
              <w:bottom w:w="80" w:type="dxa"/>
              <w:end w:w="90" w:type="dxa"/>
            </w:tcMar>
          </w:tcPr>
          <w:p>
            <w:pPr>
              <w:spacing w:after="0"/>
            </w:pPr>
            <w:r/>
            <w:r>
              <w:rPr>
                <w:rFonts w:ascii="Carlito" w:hAnsi="Carlito" w:eastAsia="Carlito"/>
                <w:b w:val="0"/>
                <w:color w:val="243447"/>
                <w:sz w:val="16"/>
              </w:rPr>
              <w:t>Propriété extrapolée</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Critique</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Scénario non approuvable</w:t>
            </w:r>
          </w:p>
        </w:tc>
        <w:tc>
          <w:tcPr>
            <w:tcW w:type="dxa" w:w="4309"/>
            <w:vAlign w:val="center"/>
            <w:tcMar>
              <w:top w:w="80" w:type="dxa"/>
              <w:start w:w="90" w:type="dxa"/>
              <w:bottom w:w="80" w:type="dxa"/>
              <w:end w:w="90" w:type="dxa"/>
            </w:tcMar>
            <w:shd w:fill="F2F2F2"/>
          </w:tcPr>
          <w:p>
            <w:pPr>
              <w:spacing w:after="0"/>
            </w:pPr>
            <w:r/>
            <w:r>
              <w:rPr>
                <w:rFonts w:ascii="Carlito" w:hAnsi="Carlito" w:eastAsia="Carlito"/>
                <w:b w:val="0"/>
                <w:color w:val="243447"/>
                <w:sz w:val="16"/>
              </w:rPr>
              <w:t>NPSH insuffisant ou pression dépassée</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Erreur données</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Calcul non lancé</w:t>
            </w:r>
          </w:p>
        </w:tc>
        <w:tc>
          <w:tcPr>
            <w:tcW w:type="dxa" w:w="4309"/>
            <w:vAlign w:val="center"/>
            <w:tcMar>
              <w:top w:w="80" w:type="dxa"/>
              <w:start w:w="90" w:type="dxa"/>
              <w:bottom w:w="80" w:type="dxa"/>
              <w:end w:w="90" w:type="dxa"/>
            </w:tcMar>
          </w:tcPr>
          <w:p>
            <w:pPr>
              <w:spacing w:after="0"/>
            </w:pPr>
            <w:r/>
            <w:r>
              <w:rPr>
                <w:rFonts w:ascii="Carlito" w:hAnsi="Carlito" w:eastAsia="Carlito"/>
                <w:b w:val="0"/>
                <w:color w:val="243447"/>
                <w:sz w:val="16"/>
              </w:rPr>
              <w:t>Diamètre absent</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Échec numérique</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Pas de résultat valide</w:t>
            </w:r>
          </w:p>
        </w:tc>
        <w:tc>
          <w:tcPr>
            <w:tcW w:type="dxa" w:w="4309"/>
            <w:vAlign w:val="center"/>
            <w:tcMar>
              <w:top w:w="80" w:type="dxa"/>
              <w:start w:w="90" w:type="dxa"/>
              <w:bottom w:w="80" w:type="dxa"/>
              <w:end w:w="90" w:type="dxa"/>
            </w:tcMar>
            <w:shd w:fill="F2F2F2"/>
          </w:tcPr>
          <w:p>
            <w:pPr>
              <w:spacing w:after="0"/>
            </w:pPr>
            <w:r/>
            <w:r>
              <w:rPr>
                <w:rFonts w:ascii="Carlito" w:hAnsi="Carlito" w:eastAsia="Carlito"/>
                <w:b w:val="0"/>
                <w:color w:val="243447"/>
                <w:sz w:val="16"/>
              </w:rPr>
              <w:t>Non-convergence</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Sécurité</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Action interdite</w:t>
            </w:r>
          </w:p>
        </w:tc>
        <w:tc>
          <w:tcPr>
            <w:tcW w:type="dxa" w:w="4309"/>
            <w:vAlign w:val="center"/>
            <w:tcMar>
              <w:top w:w="80" w:type="dxa"/>
              <w:start w:w="90" w:type="dxa"/>
              <w:bottom w:w="80" w:type="dxa"/>
              <w:end w:w="90" w:type="dxa"/>
            </w:tcMar>
          </w:tcPr>
          <w:p>
            <w:pPr>
              <w:spacing w:after="0"/>
            </w:pPr>
            <w:r/>
            <w:r>
              <w:rPr>
                <w:rFonts w:ascii="Carlito" w:hAnsi="Carlito" w:eastAsia="Carlito"/>
                <w:b w:val="0"/>
                <w:color w:val="243447"/>
                <w:sz w:val="16"/>
              </w:rPr>
              <w:t>Permission ou connecteur write</w:t>
            </w:r>
          </w:p>
        </w:tc>
      </w:tr>
    </w:tbl>
    <w:p>
      <w:pPr>
        <w:spacing w:after="40"/>
      </w:pPr>
    </w:p>
    <w:p>
      <w:pPr>
        <w:pStyle w:val="Heading1"/>
      </w:pPr>
      <w:r>
        <w:t>15. Accessibilité et impression</w:t>
      </w:r>
    </w:p>
    <w:p>
      <w:pPr>
        <w:pStyle w:val="ListBullet"/>
      </w:pPr>
      <w:r>
        <w:t>Contraste suffisant, focus visible et navigation clavier.</w:t>
      </w:r>
    </w:p>
    <w:p>
      <w:pPr>
        <w:pStyle w:val="ListBullet"/>
      </w:pPr>
      <w:r>
        <w:t>Texte alternatif pour figures et descriptions tabulaires.</w:t>
      </w:r>
    </w:p>
    <w:p>
      <w:pPr>
        <w:pStyle w:val="ListBullet"/>
      </w:pPr>
      <w:r>
        <w:t>Unités et symboles lisibles sans dépendre de la couleur.</w:t>
      </w:r>
    </w:p>
    <w:p>
      <w:pPr>
        <w:pStyle w:val="ListBullet"/>
      </w:pPr>
      <w:r>
        <w:t>Tables avec en-têtes et pagination correcte.</w:t>
      </w:r>
    </w:p>
    <w:p>
      <w:pPr>
        <w:pStyle w:val="ListBullet"/>
      </w:pPr>
      <w:r>
        <w:t>Rapports A4, marges stables, graphiques vectoriels ou haute résolution.</w:t>
      </w:r>
    </w:p>
    <w:p>
      <w:pPr>
        <w:pStyle w:val="ListBullet"/>
      </w:pPr>
      <w:r>
        <w:t>Numérotation, titres et références cohérents.</w:t>
      </w:r>
    </w:p>
    <w:p>
      <w:pPr>
        <w:pStyle w:val="ListBullet"/>
      </w:pPr>
      <w:r>
        <w:t>Langage clair en français et glossaire technique.</w:t>
      </w:r>
    </w:p>
    <w:p>
      <w:pPr>
        <w:pStyle w:val="ListBullet"/>
      </w:pPr>
      <w:r>
        <w:t>Version sombre éventuelle uniquement si elle ne compromet pas l’impression.</w:t>
      </w:r>
    </w:p>
    <w:p>
      <w:pPr>
        <w:pStyle w:val="Heading1"/>
      </w:pPr>
      <w:r>
        <w:t>Sources et références</w:t>
      </w:r>
    </w:p>
    <w:p>
      <w:pPr>
        <w:pStyle w:val="ListBullet"/>
      </w:pPr>
      <w:r>
        <w:t>D03/D04 - Processus et fonctions.</w:t>
      </w:r>
    </w:p>
    <w:p>
      <w:pPr>
        <w:pStyle w:val="ListBullet"/>
      </w:pPr>
      <w:r>
        <w:t>D05 - Qualité et accessibilité.</w:t>
      </w:r>
    </w:p>
    <w:p>
      <w:pPr>
        <w:pStyle w:val="ListBullet"/>
      </w:pPr>
      <w:r>
        <w:t>D09 - Données.</w:t>
      </w:r>
    </w:p>
    <w:p>
      <w:pPr>
        <w:pStyle w:val="ListBullet"/>
      </w:pPr>
      <w:r>
        <w:t>D19 sert de base aux maquettes UX et templates de rapports.</w:t>
      </w:r>
    </w:p>
    <w:p>
      <w:pPr>
        <w:spacing w:before="360"/>
        <w:jc w:val="center"/>
      </w:pPr>
      <w:r>
        <w:rPr>
          <w:i/>
          <w:color w:val="7B8794"/>
          <w:sz w:val="16"/>
        </w:rPr>
        <w:t>Fin du document</w:t>
      </w:r>
    </w:p>
    <w:sectPr w:rsidR="00FC693F" w:rsidRPr="0006063C" w:rsidSect="00034616">
      <w:headerReference w:type="default" r:id="rId9"/>
      <w:footerReference w:type="default" r:id="rId10"/>
      <w:pgSz w:w="11906" w:h="16838"/>
      <w:pgMar w:top="1020" w:right="907"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Carlito" w:hAnsi="Carlito"/>
        <w:color w:val="6B7785"/>
        <w:sz w:val="14"/>
      </w:rPr>
      <w:t>Version 1.0 • 2 août 2026 • Document de conception - non certifiant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color w:val="0F6B78"/>
        <w:sz w:val="15"/>
      </w:rPr>
      <w:t>D19  |  Plateforme Hydrocarbures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Carlito" w:hAnsi="Carlito" w:eastAsia="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Carlito" w:hAnsi="Carlito" w:eastAsia="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Modèles de rapports et interfaces</dc:title>
  <dc:subject>Plateforme de transport et de stockage des hydrocarbures</dc:subject>
  <dc:creator>Équipe projet (2 développeurs assistés par IA)</dc:creator>
  <cp:keywords>pipeline, hydrocarbures, stockage, pompes, gaz, simulation, Python, PostgreSQL</cp:keywords>
  <dc:description>Document généré dans le cadre du dossier de conception.</dc:description>
  <cp:lastModifiedBy/>
  <cp:revision>1</cp:revision>
  <dcterms:created xsi:type="dcterms:W3CDTF">2013-12-23T23:15:00Z</dcterms:created>
  <dcterms:modified xsi:type="dcterms:W3CDTF">2013-12-23T23:15:00Z</dcterms:modified>
  <cp:category/>
</cp:coreProperties>
</file>