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Liberation Sans" w:hAnsi="Liberation Sans"/>
          <w:b/>
          <w:color w:val="0F6B78"/>
          <w:sz w:val="36"/>
        </w:rPr>
        <w:t>Plateforme de transport et de stockage des hydrocarbures</w:t>
      </w:r>
    </w:p>
    <w:p>
      <w:pPr>
        <w:spacing w:before="520"/>
        <w:jc w:val="center"/>
      </w:pPr>
      <w:r>
        <w:rPr>
          <w:rFonts w:ascii="Liberation Sans" w:hAnsi="Liberation Sans"/>
          <w:b/>
          <w:color w:val="17365D"/>
          <w:sz w:val="40"/>
        </w:rPr>
        <w:t>D00</w:t>
      </w:r>
    </w:p>
    <w:p>
      <w:pPr>
        <w:spacing w:before="160"/>
        <w:jc w:val="center"/>
      </w:pPr>
      <w:r>
        <w:rPr>
          <w:rFonts w:ascii="Liberation Sans" w:hAnsi="Liberation Sans"/>
          <w:b/>
          <w:color w:val="17365D"/>
          <w:sz w:val="52"/>
        </w:rPr>
        <w:t>Index du dossier documentaire complet</w:t>
      </w:r>
    </w:p>
    <w:p>
      <w:pPr>
        <w:spacing w:before="200"/>
        <w:jc w:val="center"/>
      </w:pPr>
      <w:r>
        <w:rPr>
          <w:rFonts w:ascii="Carlito" w:hAnsi="Carlito"/>
          <w:i/>
          <w:color w:val="243447"/>
          <w:sz w:val="25"/>
        </w:rPr>
        <w:t>Guide de lecture et registre des livrables D01 à D20</w:t>
      </w:r>
    </w:p>
    <w:p>
      <w:pPr>
        <w:spacing w:before="840"/>
      </w:pP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Version</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1.0</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Date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août 2026</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Statut</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Référence de conception - à valider par l’équipe</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Équipe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développeurs, avec validation métier et scientifique</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Référentiel</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ASME, API, ISO, IEC, ISA et exigences locales applicables</w:t>
            </w:r>
          </w:p>
        </w:tc>
      </w:tr>
    </w:tbl>
    <w:p/>
    <w:p>
      <w:pPr>
        <w:ind w:left="850" w:right="850"/>
        <w:jc w:val="center"/>
      </w:pPr>
      <w:r>
        <w:rPr>
          <w:i/>
          <w:color w:val="667788"/>
          <w:sz w:val="17"/>
        </w:rPr>
        <w:t>Note : ce document structure la conception du logiciel. Il ne remplace ni les textes normatifs achetés auprès de leurs éditeurs, ni les validations d’un ingénieur habilité, ni les autorisations réglementaires d’un site réel.</w:t>
      </w:r>
    </w:p>
    <w:p>
      <w:r>
        <w:br w:type="page"/>
      </w:r>
    </w:p>
    <w:p>
      <w:pPr>
        <w:pStyle w:val="Heading1"/>
      </w:pPr>
      <w:r>
        <w:t>Contrôle du document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8"/>
              </w:rPr>
              <w:t>Champ</w:t>
            </w:r>
          </w:p>
        </w:tc>
        <w:tc>
          <w:tcPr>
            <w:tcW w:type="dxa" w:w="6917"/>
            <w:vAlign w:val="center"/>
            <w:tcMar>
              <w:top w:w="80" w:type="dxa"/>
              <w:start w:w="90" w:type="dxa"/>
              <w:bottom w:w="80" w:type="dxa"/>
              <w:end w:w="90" w:type="dxa"/>
            </w:tcMar>
            <w:shd w:fill="17365D"/>
          </w:tcPr>
          <w:p>
            <w:pPr>
              <w:spacing w:after="0"/>
            </w:pPr>
            <w:r/>
            <w:r>
              <w:rPr>
                <w:rFonts w:ascii="Carlito" w:hAnsi="Carlito" w:eastAsia="Carlito"/>
                <w:b/>
                <w:color w:val="FFFFFF"/>
                <w:sz w:val="18"/>
              </w:rPr>
              <w:t>Valeur</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Code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D00</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Version</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1.0</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Date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2 août 2026</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Auteur</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Équipe projet - 2 développeurs</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Validation attendue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Relecture technique, métier et réglementaire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Statut</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Document de référence pour la conception</w:t>
            </w:r>
          </w:p>
        </w:tc>
      </w:tr>
    </w:tbl>
    <w:p>
      <w:pPr>
        <w:spacing w:after="40"/>
      </w:pPr>
    </w:p>
    <w:p>
      <w:pPr>
        <w:pStyle w:val="Heading1"/>
      </w:pPr>
      <w:r>
        <w:t>Table des matières</w:t>
      </w:r>
    </w:p>
    <w:p>
      <w:pPr>
        <w:pStyle w:val="ListNumber"/>
      </w:pPr>
      <w:r>
        <w:t>Objet du dossier</w:t>
      </w:r>
    </w:p>
    <w:p>
      <w:pPr>
        <w:pStyle w:val="ListNumber"/>
      </w:pPr>
      <w:r>
        <w:t>Registre des documents</w:t>
      </w:r>
    </w:p>
    <w:p>
      <w:pPr>
        <w:pStyle w:val="ListNumber"/>
      </w:pPr>
      <w:r>
        <w:t>Ordre de lecture</w:t>
      </w:r>
    </w:p>
    <w:p>
      <w:pPr>
        <w:pStyle w:val="ListNumber"/>
      </w:pPr>
      <w:r>
        <w:t>Décisions consolidées</w:t>
      </w:r>
    </w:p>
    <w:p>
      <w:pPr>
        <w:pStyle w:val="ListNumber"/>
      </w:pPr>
      <w:r>
        <w:t>Hypothèses</w:t>
      </w:r>
    </w:p>
    <w:p>
      <w:pPr>
        <w:pStyle w:val="ListNumber"/>
      </w:pPr>
      <w:r>
        <w:t>Utilisation des documents</w:t>
      </w:r>
    </w:p>
    <w:p>
      <w:pPr>
        <w:pStyle w:val="ListNumber"/>
      </w:pPr>
      <w:r>
        <w:t>Éléments à confirmer</w:t>
      </w:r>
    </w:p>
    <w:p>
      <w:pPr>
        <w:pStyle w:val="ListNumber"/>
      </w:pPr>
      <w:r>
        <w:t>Gestion des versions</w:t>
      </w:r>
    </w:p>
    <w:p>
      <w:r>
        <w:rPr>
          <w:i/>
          <w:color w:val="6B7785"/>
          <w:sz w:val="17"/>
        </w:rPr>
        <w:t>La pagination peut évoluer après validation et mise en forme finale dans Microsoft Word ou LibreOffice.</w:t>
      </w:r>
    </w:p>
    <w:p>
      <w:r>
        <w:br w:type="page"/>
      </w:r>
    </w:p>
    <w:p>
      <w:pPr>
        <w:pStyle w:val="Heading1"/>
      </w:pPr>
      <w:r>
        <w:t>1. Objet du dossier</w:t>
      </w:r>
    </w:p>
    <w:p>
      <w:r>
        <w:rPr>
          <w:i w:val="0"/>
        </w:rPr>
        <w:t>Ce dossier rassemble les documents nécessaires pour cadrer, spécifier, concevoir, développer, tester et préparer le pilote de la plateforme paramétrable de transport et de stockage des hydrocarbures. Il constitue la baseline documentaire version 1.0 du projet.</w:t>
      </w:r>
    </w:p>
    <w:tbl>
      <w:tblPr>
        <w:tblW w:type="auto" w:w="0"/>
        <w:jc w:val="center"/>
        <w:tblLook w:firstColumn="1" w:firstRow="1" w:lastColumn="0" w:lastRow="0" w:noHBand="0" w:noVBand="1" w:val="04A0"/>
      </w:tblPr>
      <w:tblGrid>
        <w:gridCol w:w="9979"/>
      </w:tblGrid>
      <w:tr>
        <w:tc>
          <w:tcPr>
            <w:tcW w:type="dxa" w:w="9979"/>
            <w:shd w:fill="E2F0D9"/>
            <w:tcMar>
              <w:top w:w="130" w:type="dxa"/>
              <w:start w:w="140" w:type="dxa"/>
              <w:bottom w:w="130" w:type="dxa"/>
              <w:end w:w="140" w:type="dxa"/>
            </w:tcMar>
          </w:tcPr>
          <w:p>
            <w:r/>
            <w:r>
              <w:rPr>
                <w:rFonts w:ascii="Liberation Sans" w:hAnsi="Liberation Sans"/>
                <w:b/>
                <w:color w:val="17365D"/>
                <w:sz w:val="21"/>
              </w:rPr>
              <w:t>État du projet</w:t>
            </w:r>
          </w:p>
          <w:p>
            <w:pPr>
              <w:spacing w:after="0"/>
            </w:pPr>
            <w:r>
              <w:rPr>
                <w:rFonts w:ascii="Carlito" w:hAnsi="Carlito"/>
                <w:color w:val="243447"/>
                <w:sz w:val="19"/>
              </w:rPr>
              <w:t>La recherche générale est suffisamment avancée pour lancer la conception et le développement du MVP. Les validations réglementaires locales, les données réelles d’équipements et le site pilote seront ajoutés au moment approprié.</w:t>
            </w:r>
          </w:p>
        </w:tc>
      </w:tr>
    </w:tbl>
    <w:p>
      <w:pPr>
        <w:spacing w:after="20"/>
      </w:pPr>
    </w:p>
    <w:p>
      <w:pPr>
        <w:pStyle w:val="Heading1"/>
      </w:pPr>
      <w:r>
        <w:t>2. Registre des documents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134"/>
            <w:vAlign w:val="center"/>
            <w:tcMar>
              <w:top w:w="80" w:type="dxa"/>
              <w:start w:w="90" w:type="dxa"/>
              <w:bottom w:w="80" w:type="dxa"/>
              <w:end w:w="90" w:type="dxa"/>
            </w:tcMar>
            <w:shd w:fill="17365D"/>
          </w:tcPr>
          <w:p>
            <w:pPr>
              <w:spacing w:after="0"/>
            </w:pPr>
            <w:r/>
            <w:r>
              <w:rPr>
                <w:rFonts w:ascii="Carlito" w:hAnsi="Carlito" w:eastAsia="Carlito"/>
                <w:b/>
                <w:color w:val="FFFFFF"/>
                <w:sz w:val="15"/>
              </w:rPr>
              <w:t>Réf.</w:t>
            </w:r>
          </w:p>
        </w:tc>
        <w:tc>
          <w:tcPr>
            <w:tcW w:type="dxa" w:w="3969"/>
            <w:vAlign w:val="center"/>
            <w:tcMar>
              <w:top w:w="80" w:type="dxa"/>
              <w:start w:w="90" w:type="dxa"/>
              <w:bottom w:w="80" w:type="dxa"/>
              <w:end w:w="90" w:type="dxa"/>
            </w:tcMar>
            <w:shd w:fill="17365D"/>
          </w:tcPr>
          <w:p>
            <w:pPr>
              <w:spacing w:after="0"/>
            </w:pPr>
            <w:r/>
            <w:r>
              <w:rPr>
                <w:rFonts w:ascii="Carlito" w:hAnsi="Carlito" w:eastAsia="Carlito"/>
                <w:b/>
                <w:color w:val="FFFFFF"/>
                <w:sz w:val="15"/>
              </w:rPr>
              <w:t>Document</w:t>
            </w:r>
          </w:p>
        </w:tc>
        <w:tc>
          <w:tcPr>
            <w:tcW w:type="dxa" w:w="4309"/>
            <w:vAlign w:val="center"/>
            <w:tcMar>
              <w:top w:w="80" w:type="dxa"/>
              <w:start w:w="90" w:type="dxa"/>
              <w:bottom w:w="80" w:type="dxa"/>
              <w:end w:w="90" w:type="dxa"/>
            </w:tcMar>
            <w:shd w:fill="17365D"/>
          </w:tcPr>
          <w:p>
            <w:pPr>
              <w:spacing w:after="0"/>
            </w:pPr>
            <w:r/>
            <w:r>
              <w:rPr>
                <w:rFonts w:ascii="Carlito" w:hAnsi="Carlito" w:eastAsia="Carlito"/>
                <w:b/>
                <w:color w:val="FFFFFF"/>
                <w:sz w:val="15"/>
              </w:rPr>
              <w:t>Finalité</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D01</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5"/>
              </w:rPr>
              <w:t>Document de cadrage officiel et plan directeur</w:t>
            </w:r>
          </w:p>
        </w:tc>
        <w:tc>
          <w:tcPr>
            <w:tcW w:type="dxa" w:w="4309"/>
            <w:vAlign w:val="center"/>
            <w:tcMar>
              <w:top w:w="80" w:type="dxa"/>
              <w:start w:w="90" w:type="dxa"/>
              <w:bottom w:w="80" w:type="dxa"/>
              <w:end w:w="90" w:type="dxa"/>
            </w:tcMar>
            <w:shd w:fill="F2F2F2"/>
          </w:tcPr>
          <w:p>
            <w:pPr>
              <w:spacing w:after="0"/>
            </w:pPr>
            <w:r/>
            <w:r>
              <w:rPr>
                <w:rFonts w:ascii="Carlito" w:hAnsi="Carlito" w:eastAsia="Carlito"/>
                <w:b w:val="0"/>
                <w:color w:val="243447"/>
                <w:sz w:val="15"/>
              </w:rPr>
              <w:t>Vision, périmètre, décisions et organisation</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D02</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5"/>
              </w:rPr>
              <w:t>Vision produit et proposition de valeur</w:t>
            </w:r>
          </w:p>
        </w:tc>
        <w:tc>
          <w:tcPr>
            <w:tcW w:type="dxa" w:w="4309"/>
            <w:vAlign w:val="center"/>
            <w:tcMar>
              <w:top w:w="80" w:type="dxa"/>
              <w:start w:w="90" w:type="dxa"/>
              <w:bottom w:w="80" w:type="dxa"/>
              <w:end w:w="90" w:type="dxa"/>
            </w:tcMar>
          </w:tcPr>
          <w:p>
            <w:pPr>
              <w:spacing w:after="0"/>
            </w:pPr>
            <w:r/>
            <w:r>
              <w:rPr>
                <w:rFonts w:ascii="Carlito" w:hAnsi="Carlito" w:eastAsia="Carlito"/>
                <w:b w:val="0"/>
                <w:color w:val="243447"/>
                <w:sz w:val="15"/>
              </w:rPr>
              <w:t>But, utilisateurs, bénéfices et différenciation</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D03</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5"/>
              </w:rPr>
              <w:t>Cartographie des acteurs et processus métier</w:t>
            </w:r>
          </w:p>
        </w:tc>
        <w:tc>
          <w:tcPr>
            <w:tcW w:type="dxa" w:w="4309"/>
            <w:vAlign w:val="center"/>
            <w:tcMar>
              <w:top w:w="80" w:type="dxa"/>
              <w:start w:w="90" w:type="dxa"/>
              <w:bottom w:w="80" w:type="dxa"/>
              <w:end w:w="90" w:type="dxa"/>
            </w:tcMar>
            <w:shd w:fill="F2F2F2"/>
          </w:tcPr>
          <w:p>
            <w:pPr>
              <w:spacing w:after="0"/>
            </w:pPr>
            <w:r/>
            <w:r>
              <w:rPr>
                <w:rFonts w:ascii="Carlito" w:hAnsi="Carlito" w:eastAsia="Carlito"/>
                <w:b w:val="0"/>
                <w:color w:val="243447"/>
                <w:sz w:val="15"/>
              </w:rPr>
              <w:t>Rôles, flux, documents et contrôles</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D04</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5"/>
              </w:rPr>
              <w:t>Cahier des charges fonctionnel complet</w:t>
            </w:r>
          </w:p>
        </w:tc>
        <w:tc>
          <w:tcPr>
            <w:tcW w:type="dxa" w:w="4309"/>
            <w:vAlign w:val="center"/>
            <w:tcMar>
              <w:top w:w="80" w:type="dxa"/>
              <w:start w:w="90" w:type="dxa"/>
              <w:bottom w:w="80" w:type="dxa"/>
              <w:end w:w="90" w:type="dxa"/>
            </w:tcMar>
          </w:tcPr>
          <w:p>
            <w:pPr>
              <w:spacing w:after="0"/>
            </w:pPr>
            <w:r/>
            <w:r>
              <w:rPr>
                <w:rFonts w:ascii="Carlito" w:hAnsi="Carlito" w:eastAsia="Carlito"/>
                <w:b w:val="0"/>
                <w:color w:val="243447"/>
                <w:sz w:val="15"/>
              </w:rPr>
              <w:t>Exigences fonctionnelles identifiées et priorisées</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D05</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5"/>
              </w:rPr>
              <w:t>Exigences non fonctionnelles</w:t>
            </w:r>
          </w:p>
        </w:tc>
        <w:tc>
          <w:tcPr>
            <w:tcW w:type="dxa" w:w="4309"/>
            <w:vAlign w:val="center"/>
            <w:tcMar>
              <w:top w:w="80" w:type="dxa"/>
              <w:start w:w="90" w:type="dxa"/>
              <w:bottom w:w="80" w:type="dxa"/>
              <w:end w:w="90" w:type="dxa"/>
            </w:tcMar>
            <w:shd w:fill="F2F2F2"/>
          </w:tcPr>
          <w:p>
            <w:pPr>
              <w:spacing w:after="0"/>
            </w:pPr>
            <w:r/>
            <w:r>
              <w:rPr>
                <w:rFonts w:ascii="Carlito" w:hAnsi="Carlito" w:eastAsia="Carlito"/>
                <w:b w:val="0"/>
                <w:color w:val="243447"/>
                <w:sz w:val="15"/>
              </w:rPr>
              <w:t>Performance, sécurité, qualité et maintenabilité</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D06</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5"/>
              </w:rPr>
              <w:t>Catalogue des cas d’usage et scénarios</w:t>
            </w:r>
          </w:p>
        </w:tc>
        <w:tc>
          <w:tcPr>
            <w:tcW w:type="dxa" w:w="4309"/>
            <w:vAlign w:val="center"/>
            <w:tcMar>
              <w:top w:w="80" w:type="dxa"/>
              <w:start w:w="90" w:type="dxa"/>
              <w:bottom w:w="80" w:type="dxa"/>
              <w:end w:w="90" w:type="dxa"/>
            </w:tcMar>
          </w:tcPr>
          <w:p>
            <w:pPr>
              <w:spacing w:after="0"/>
            </w:pPr>
            <w:r/>
            <w:r>
              <w:rPr>
                <w:rFonts w:ascii="Carlito" w:hAnsi="Carlito" w:eastAsia="Carlito"/>
                <w:b w:val="0"/>
                <w:color w:val="243447"/>
                <w:sz w:val="15"/>
              </w:rPr>
              <w:t>Modes normal, dégradé, secours et futurs</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D07</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5"/>
              </w:rPr>
              <w:t>Référentiel scientifique et mathématique</w:t>
            </w:r>
          </w:p>
        </w:tc>
        <w:tc>
          <w:tcPr>
            <w:tcW w:type="dxa" w:w="4309"/>
            <w:vAlign w:val="center"/>
            <w:tcMar>
              <w:top w:w="80" w:type="dxa"/>
              <w:start w:w="90" w:type="dxa"/>
              <w:bottom w:w="80" w:type="dxa"/>
              <w:end w:w="90" w:type="dxa"/>
            </w:tcMar>
            <w:shd w:fill="F2F2F2"/>
          </w:tcPr>
          <w:p>
            <w:pPr>
              <w:spacing w:after="0"/>
            </w:pPr>
            <w:r/>
            <w:r>
              <w:rPr>
                <w:rFonts w:ascii="Carlito" w:hAnsi="Carlito" w:eastAsia="Carlito"/>
                <w:b w:val="0"/>
                <w:color w:val="243447"/>
                <w:sz w:val="15"/>
              </w:rPr>
              <w:t>Équations, hypothèses, méthodes et limites</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D08</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5"/>
              </w:rPr>
              <w:t>Référentiel normatif international</w:t>
            </w:r>
          </w:p>
        </w:tc>
        <w:tc>
          <w:tcPr>
            <w:tcW w:type="dxa" w:w="4309"/>
            <w:vAlign w:val="center"/>
            <w:tcMar>
              <w:top w:w="80" w:type="dxa"/>
              <w:start w:w="90" w:type="dxa"/>
              <w:bottom w:w="80" w:type="dxa"/>
              <w:end w:w="90" w:type="dxa"/>
            </w:tcMar>
          </w:tcPr>
          <w:p>
            <w:pPr>
              <w:spacing w:after="0"/>
            </w:pPr>
            <w:r/>
            <w:r>
              <w:rPr>
                <w:rFonts w:ascii="Carlito" w:hAnsi="Carlito" w:eastAsia="Carlito"/>
                <w:b w:val="0"/>
                <w:color w:val="243447"/>
                <w:sz w:val="15"/>
              </w:rPr>
              <w:t>ASME, API, ISO, IEC, ISA et cadre local</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D09</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5"/>
              </w:rPr>
              <w:t>Dictionnaire des données</w:t>
            </w:r>
          </w:p>
        </w:tc>
        <w:tc>
          <w:tcPr>
            <w:tcW w:type="dxa" w:w="4309"/>
            <w:vAlign w:val="center"/>
            <w:tcMar>
              <w:top w:w="80" w:type="dxa"/>
              <w:start w:w="90" w:type="dxa"/>
              <w:bottom w:w="80" w:type="dxa"/>
              <w:end w:w="90" w:type="dxa"/>
            </w:tcMar>
            <w:shd w:fill="F2F2F2"/>
          </w:tcPr>
          <w:p>
            <w:pPr>
              <w:spacing w:after="0"/>
            </w:pPr>
            <w:r/>
            <w:r>
              <w:rPr>
                <w:rFonts w:ascii="Carlito" w:hAnsi="Carlito" w:eastAsia="Carlito"/>
                <w:b w:val="0"/>
                <w:color w:val="243447"/>
                <w:sz w:val="15"/>
              </w:rPr>
              <w:t>Entités, champs, unités, qualité et formats</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D10</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5"/>
              </w:rPr>
              <w:t>Plan de validation scientifique</w:t>
            </w:r>
          </w:p>
        </w:tc>
        <w:tc>
          <w:tcPr>
            <w:tcW w:type="dxa" w:w="4309"/>
            <w:vAlign w:val="center"/>
            <w:tcMar>
              <w:top w:w="80" w:type="dxa"/>
              <w:start w:w="90" w:type="dxa"/>
              <w:bottom w:w="80" w:type="dxa"/>
              <w:end w:w="90" w:type="dxa"/>
            </w:tcMar>
          </w:tcPr>
          <w:p>
            <w:pPr>
              <w:spacing w:after="0"/>
            </w:pPr>
            <w:r/>
            <w:r>
              <w:rPr>
                <w:rFonts w:ascii="Carlito" w:hAnsi="Carlito" w:eastAsia="Carlito"/>
                <w:b w:val="0"/>
                <w:color w:val="243447"/>
                <w:sz w:val="15"/>
              </w:rPr>
              <w:t>Cas tests, tolérances et dossier de preuve</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D11</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5"/>
              </w:rPr>
              <w:t>Architecture logicielle détaillée</w:t>
            </w:r>
          </w:p>
        </w:tc>
        <w:tc>
          <w:tcPr>
            <w:tcW w:type="dxa" w:w="4309"/>
            <w:vAlign w:val="center"/>
            <w:tcMar>
              <w:top w:w="80" w:type="dxa"/>
              <w:start w:w="90" w:type="dxa"/>
              <w:bottom w:w="80" w:type="dxa"/>
              <w:end w:w="90" w:type="dxa"/>
            </w:tcMar>
            <w:shd w:fill="F2F2F2"/>
          </w:tcPr>
          <w:p>
            <w:pPr>
              <w:spacing w:after="0"/>
            </w:pPr>
            <w:r/>
            <w:r>
              <w:rPr>
                <w:rFonts w:ascii="Carlito" w:hAnsi="Carlito" w:eastAsia="Carlito"/>
                <w:b w:val="0"/>
                <w:color w:val="243447"/>
                <w:sz w:val="15"/>
              </w:rPr>
              <w:t>Composants, domaines, déploiement et ADR</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D12</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5"/>
              </w:rPr>
              <w:t>Modèle conceptuel et logique des données</w:t>
            </w:r>
          </w:p>
        </w:tc>
        <w:tc>
          <w:tcPr>
            <w:tcW w:type="dxa" w:w="4309"/>
            <w:vAlign w:val="center"/>
            <w:tcMar>
              <w:top w:w="80" w:type="dxa"/>
              <w:start w:w="90" w:type="dxa"/>
              <w:bottom w:w="80" w:type="dxa"/>
              <w:end w:w="90" w:type="dxa"/>
            </w:tcMar>
          </w:tcPr>
          <w:p>
            <w:pPr>
              <w:spacing w:after="0"/>
            </w:pPr>
            <w:r/>
            <w:r>
              <w:rPr>
                <w:rFonts w:ascii="Carlito" w:hAnsi="Carlito" w:eastAsia="Carlito"/>
                <w:b w:val="0"/>
                <w:color w:val="243447"/>
                <w:sz w:val="15"/>
              </w:rPr>
              <w:t>Schéma relationnel, versions et persistance</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D13</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5"/>
              </w:rPr>
              <w:t>Spécification des API et intégrations</w:t>
            </w:r>
          </w:p>
        </w:tc>
        <w:tc>
          <w:tcPr>
            <w:tcW w:type="dxa" w:w="4309"/>
            <w:vAlign w:val="center"/>
            <w:tcMar>
              <w:top w:w="80" w:type="dxa"/>
              <w:start w:w="90" w:type="dxa"/>
              <w:bottom w:w="80" w:type="dxa"/>
              <w:end w:w="90" w:type="dxa"/>
            </w:tcMar>
            <w:shd w:fill="F2F2F2"/>
          </w:tcPr>
          <w:p>
            <w:pPr>
              <w:spacing w:after="0"/>
            </w:pPr>
            <w:r/>
            <w:r>
              <w:rPr>
                <w:rFonts w:ascii="Carlito" w:hAnsi="Carlito" w:eastAsia="Carlito"/>
                <w:b w:val="0"/>
                <w:color w:val="243447"/>
                <w:sz w:val="15"/>
              </w:rPr>
              <w:t>REST, jobs, fichiers et connecteurs</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D14</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5"/>
              </w:rPr>
              <w:t>Stratégie open source et licences</w:t>
            </w:r>
          </w:p>
        </w:tc>
        <w:tc>
          <w:tcPr>
            <w:tcW w:type="dxa" w:w="4309"/>
            <w:vAlign w:val="center"/>
            <w:tcMar>
              <w:top w:w="80" w:type="dxa"/>
              <w:start w:w="90" w:type="dxa"/>
              <w:bottom w:w="80" w:type="dxa"/>
              <w:end w:w="90" w:type="dxa"/>
            </w:tcMar>
          </w:tcPr>
          <w:p>
            <w:pPr>
              <w:spacing w:after="0"/>
            </w:pPr>
            <w:r/>
            <w:r>
              <w:rPr>
                <w:rFonts w:ascii="Carlito" w:hAnsi="Carlito" w:eastAsia="Carlito"/>
                <w:b w:val="0"/>
                <w:color w:val="243447"/>
                <w:sz w:val="15"/>
              </w:rPr>
              <w:t>Composants, décisions, audits et alternatives</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D15</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5"/>
              </w:rPr>
              <w:t>Sécurité, SCADA et historisation</w:t>
            </w:r>
          </w:p>
        </w:tc>
        <w:tc>
          <w:tcPr>
            <w:tcW w:type="dxa" w:w="4309"/>
            <w:vAlign w:val="center"/>
            <w:tcMar>
              <w:top w:w="80" w:type="dxa"/>
              <w:start w:w="90" w:type="dxa"/>
              <w:bottom w:w="80" w:type="dxa"/>
              <w:end w:w="90" w:type="dxa"/>
            </w:tcMar>
            <w:shd w:fill="F2F2F2"/>
          </w:tcPr>
          <w:p>
            <w:pPr>
              <w:spacing w:after="0"/>
            </w:pPr>
            <w:r/>
            <w:r>
              <w:rPr>
                <w:rFonts w:ascii="Carlito" w:hAnsi="Carlito" w:eastAsia="Carlito"/>
                <w:b w:val="0"/>
                <w:color w:val="243447"/>
                <w:sz w:val="15"/>
              </w:rPr>
              <w:t>OT/IT, OPC UA, historian et continuité</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D16</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5"/>
              </w:rPr>
              <w:t>Plan de développement du MVP</w:t>
            </w:r>
          </w:p>
        </w:tc>
        <w:tc>
          <w:tcPr>
            <w:tcW w:type="dxa" w:w="4309"/>
            <w:vAlign w:val="center"/>
            <w:tcMar>
              <w:top w:w="80" w:type="dxa"/>
              <w:start w:w="90" w:type="dxa"/>
              <w:bottom w:w="80" w:type="dxa"/>
              <w:end w:w="90" w:type="dxa"/>
            </w:tcMar>
          </w:tcPr>
          <w:p>
            <w:pPr>
              <w:spacing w:after="0"/>
            </w:pPr>
            <w:r/>
            <w:r>
              <w:rPr>
                <w:rFonts w:ascii="Carlito" w:hAnsi="Carlito" w:eastAsia="Carlito"/>
                <w:b w:val="0"/>
                <w:color w:val="243447"/>
                <w:sz w:val="15"/>
              </w:rPr>
              <w:t>24 sprints, équipe, charges, jalons et risques</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D17</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5"/>
              </w:rPr>
              <w:t>Roadmap complète jusqu’au produit final</w:t>
            </w:r>
          </w:p>
        </w:tc>
        <w:tc>
          <w:tcPr>
            <w:tcW w:type="dxa" w:w="4309"/>
            <w:vAlign w:val="center"/>
            <w:tcMar>
              <w:top w:w="80" w:type="dxa"/>
              <w:start w:w="90" w:type="dxa"/>
              <w:bottom w:w="80" w:type="dxa"/>
              <w:end w:w="90" w:type="dxa"/>
            </w:tcMar>
            <w:shd w:fill="F2F2F2"/>
          </w:tcPr>
          <w:p>
            <w:pPr>
              <w:spacing w:after="0"/>
            </w:pPr>
            <w:r/>
            <w:r>
              <w:rPr>
                <w:rFonts w:ascii="Carlito" w:hAnsi="Carlito" w:eastAsia="Carlito"/>
                <w:b w:val="0"/>
                <w:color w:val="243447"/>
                <w:sz w:val="15"/>
              </w:rPr>
              <w:t>Évolution sur plusieurs phases et partenaires</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D18</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5"/>
              </w:rPr>
              <w:t>Plan de tests, qualité et CI/CD</w:t>
            </w:r>
          </w:p>
        </w:tc>
        <w:tc>
          <w:tcPr>
            <w:tcW w:type="dxa" w:w="4309"/>
            <w:vAlign w:val="center"/>
            <w:tcMar>
              <w:top w:w="80" w:type="dxa"/>
              <w:start w:w="90" w:type="dxa"/>
              <w:bottom w:w="80" w:type="dxa"/>
              <w:end w:w="90" w:type="dxa"/>
            </w:tcMar>
          </w:tcPr>
          <w:p>
            <w:pPr>
              <w:spacing w:after="0"/>
            </w:pPr>
            <w:r/>
            <w:r>
              <w:rPr>
                <w:rFonts w:ascii="Carlito" w:hAnsi="Carlito" w:eastAsia="Carlito"/>
                <w:b w:val="0"/>
                <w:color w:val="243447"/>
                <w:sz w:val="15"/>
              </w:rPr>
              <w:t>Validation, automatisation, releases et métriques</w:t>
            </w:r>
          </w:p>
        </w:tc>
      </w:tr>
      <w:tr>
        <w:tc>
          <w:tcPr>
            <w:tcW w:type="dxa" w:w="1134"/>
            <w:vAlign w:val="center"/>
            <w:tcMar>
              <w:top w:w="80" w:type="dxa"/>
              <w:start w:w="90" w:type="dxa"/>
              <w:bottom w:w="80" w:type="dxa"/>
              <w:end w:w="90" w:type="dxa"/>
            </w:tcMar>
            <w:shd w:fill="F2F2F2"/>
          </w:tcPr>
          <w:p>
            <w:pPr>
              <w:spacing w:after="0"/>
            </w:pPr>
            <w:r/>
            <w:r>
              <w:rPr>
                <w:rFonts w:ascii="Carlito" w:hAnsi="Carlito" w:eastAsia="Carlito"/>
                <w:b w:val="0"/>
                <w:color w:val="243447"/>
                <w:sz w:val="15"/>
              </w:rPr>
              <w:t>D19</w:t>
            </w:r>
          </w:p>
        </w:tc>
        <w:tc>
          <w:tcPr>
            <w:tcW w:type="dxa" w:w="3969"/>
            <w:vAlign w:val="center"/>
            <w:tcMar>
              <w:top w:w="80" w:type="dxa"/>
              <w:start w:w="90" w:type="dxa"/>
              <w:bottom w:w="80" w:type="dxa"/>
              <w:end w:w="90" w:type="dxa"/>
            </w:tcMar>
            <w:shd w:fill="F2F2F2"/>
          </w:tcPr>
          <w:p>
            <w:pPr>
              <w:spacing w:after="0"/>
            </w:pPr>
            <w:r/>
            <w:r>
              <w:rPr>
                <w:rFonts w:ascii="Carlito" w:hAnsi="Carlito" w:eastAsia="Carlito"/>
                <w:b w:val="0"/>
                <w:color w:val="243447"/>
                <w:sz w:val="15"/>
              </w:rPr>
              <w:t>Modèles de rapports et interfaces</w:t>
            </w:r>
          </w:p>
        </w:tc>
        <w:tc>
          <w:tcPr>
            <w:tcW w:type="dxa" w:w="4309"/>
            <w:vAlign w:val="center"/>
            <w:tcMar>
              <w:top w:w="80" w:type="dxa"/>
              <w:start w:w="90" w:type="dxa"/>
              <w:bottom w:w="80" w:type="dxa"/>
              <w:end w:w="90" w:type="dxa"/>
            </w:tcMar>
            <w:shd w:fill="F2F2F2"/>
          </w:tcPr>
          <w:p>
            <w:pPr>
              <w:spacing w:after="0"/>
            </w:pPr>
            <w:r/>
            <w:r>
              <w:rPr>
                <w:rFonts w:ascii="Carlito" w:hAnsi="Carlito" w:eastAsia="Carlito"/>
                <w:b w:val="0"/>
                <w:color w:val="243447"/>
                <w:sz w:val="15"/>
              </w:rPr>
              <w:t>Écrans, graphiques, rapports et UX</w:t>
            </w:r>
          </w:p>
        </w:tc>
      </w:tr>
      <w:tr>
        <w:tc>
          <w:tcPr>
            <w:tcW w:type="dxa" w:w="1134"/>
            <w:vAlign w:val="center"/>
            <w:tcMar>
              <w:top w:w="80" w:type="dxa"/>
              <w:start w:w="90" w:type="dxa"/>
              <w:bottom w:w="80" w:type="dxa"/>
              <w:end w:w="90" w:type="dxa"/>
            </w:tcMar>
          </w:tcPr>
          <w:p>
            <w:pPr>
              <w:spacing w:after="0"/>
            </w:pPr>
            <w:r/>
            <w:r>
              <w:rPr>
                <w:rFonts w:ascii="Carlito" w:hAnsi="Carlito" w:eastAsia="Carlito"/>
                <w:b w:val="0"/>
                <w:color w:val="243447"/>
                <w:sz w:val="15"/>
              </w:rPr>
              <w:t>D20</w:t>
            </w:r>
          </w:p>
        </w:tc>
        <w:tc>
          <w:tcPr>
            <w:tcW w:type="dxa" w:w="3969"/>
            <w:vAlign w:val="center"/>
            <w:tcMar>
              <w:top w:w="80" w:type="dxa"/>
              <w:start w:w="90" w:type="dxa"/>
              <w:bottom w:w="80" w:type="dxa"/>
              <w:end w:w="90" w:type="dxa"/>
            </w:tcMar>
          </w:tcPr>
          <w:p>
            <w:pPr>
              <w:spacing w:after="0"/>
            </w:pPr>
            <w:r/>
            <w:r>
              <w:rPr>
                <w:rFonts w:ascii="Carlito" w:hAnsi="Carlito" w:eastAsia="Carlito"/>
                <w:b w:val="0"/>
                <w:color w:val="243447"/>
                <w:sz w:val="15"/>
              </w:rPr>
              <w:t>Dossier pilote et protocole de validation industrielle</w:t>
            </w:r>
          </w:p>
        </w:tc>
        <w:tc>
          <w:tcPr>
            <w:tcW w:type="dxa" w:w="4309"/>
            <w:vAlign w:val="center"/>
            <w:tcMar>
              <w:top w:w="80" w:type="dxa"/>
              <w:start w:w="90" w:type="dxa"/>
              <w:bottom w:w="80" w:type="dxa"/>
              <w:end w:w="90" w:type="dxa"/>
            </w:tcMar>
          </w:tcPr>
          <w:p>
            <w:pPr>
              <w:spacing w:after="0"/>
            </w:pPr>
            <w:r/>
            <w:r>
              <w:rPr>
                <w:rFonts w:ascii="Carlito" w:hAnsi="Carlito" w:eastAsia="Carlito"/>
                <w:b w:val="0"/>
                <w:color w:val="243447"/>
                <w:sz w:val="15"/>
              </w:rPr>
              <w:t>Trame d’un pilote réel, critères et Go/No-Go</w:t>
            </w:r>
          </w:p>
        </w:tc>
      </w:tr>
    </w:tbl>
    <w:p>
      <w:pPr>
        <w:spacing w:after="40"/>
      </w:pPr>
    </w:p>
    <w:p>
      <w:pPr>
        <w:pStyle w:val="Heading1"/>
      </w:pPr>
      <w:r>
        <w:t>3. Ordre de lecture recommandé</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701"/>
            <w:vAlign w:val="center"/>
            <w:tcMar>
              <w:top w:w="80" w:type="dxa"/>
              <w:start w:w="90" w:type="dxa"/>
              <w:bottom w:w="80" w:type="dxa"/>
              <w:end w:w="90" w:type="dxa"/>
            </w:tcMar>
            <w:shd w:fill="17365D"/>
          </w:tcPr>
          <w:p>
            <w:pPr>
              <w:spacing w:after="0"/>
            </w:pPr>
            <w:r/>
            <w:r>
              <w:rPr>
                <w:rFonts w:ascii="Carlito" w:hAnsi="Carlito" w:eastAsia="Carlito"/>
                <w:b/>
                <w:color w:val="FFFFFF"/>
                <w:sz w:val="17"/>
              </w:rPr>
              <w:t>Étape</w:t>
            </w:r>
          </w:p>
        </w:tc>
        <w:tc>
          <w:tcPr>
            <w:tcW w:type="dxa" w:w="1984"/>
            <w:vAlign w:val="center"/>
            <w:tcMar>
              <w:top w:w="80" w:type="dxa"/>
              <w:start w:w="90" w:type="dxa"/>
              <w:bottom w:w="80" w:type="dxa"/>
              <w:end w:w="90" w:type="dxa"/>
            </w:tcMar>
            <w:shd w:fill="17365D"/>
          </w:tcPr>
          <w:p>
            <w:pPr>
              <w:spacing w:after="0"/>
            </w:pPr>
            <w:r/>
            <w:r>
              <w:rPr>
                <w:rFonts w:ascii="Carlito" w:hAnsi="Carlito" w:eastAsia="Carlito"/>
                <w:b/>
                <w:color w:val="FFFFFF"/>
                <w:sz w:val="17"/>
              </w:rPr>
              <w:t>Documents</w:t>
            </w:r>
          </w:p>
        </w:tc>
        <w:tc>
          <w:tcPr>
            <w:tcW w:type="dxa" w:w="5726"/>
            <w:vAlign w:val="center"/>
            <w:tcMar>
              <w:top w:w="80" w:type="dxa"/>
              <w:start w:w="90" w:type="dxa"/>
              <w:bottom w:w="80" w:type="dxa"/>
              <w:end w:w="90" w:type="dxa"/>
            </w:tcMar>
            <w:shd w:fill="17365D"/>
          </w:tcPr>
          <w:p>
            <w:pPr>
              <w:spacing w:after="0"/>
            </w:pPr>
            <w:r/>
            <w:r>
              <w:rPr>
                <w:rFonts w:ascii="Carlito" w:hAnsi="Carlito" w:eastAsia="Carlito"/>
                <w:b/>
                <w:color w:val="FFFFFF"/>
                <w:sz w:val="17"/>
              </w:rPr>
              <w:t>Décision</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7"/>
              </w:rPr>
              <w:t>1. Comprendre</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7"/>
              </w:rPr>
              <w:t>D01-D03</w:t>
            </w:r>
          </w:p>
        </w:tc>
        <w:tc>
          <w:tcPr>
            <w:tcW w:type="dxa" w:w="5726"/>
            <w:vAlign w:val="center"/>
            <w:tcMar>
              <w:top w:w="80" w:type="dxa"/>
              <w:start w:w="90" w:type="dxa"/>
              <w:bottom w:w="80" w:type="dxa"/>
              <w:end w:w="90" w:type="dxa"/>
            </w:tcMar>
            <w:shd w:fill="F2F2F2"/>
          </w:tcPr>
          <w:p>
            <w:pPr>
              <w:spacing w:after="0"/>
            </w:pPr>
            <w:r/>
            <w:r>
              <w:rPr>
                <w:rFonts w:ascii="Carlito" w:hAnsi="Carlito" w:eastAsia="Carlito"/>
                <w:b w:val="0"/>
                <w:color w:val="243447"/>
                <w:sz w:val="17"/>
              </w:rPr>
              <w:t>Pourquoi, pour qui, avec quels processus</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7"/>
              </w:rPr>
              <w:t>2. Spécifier</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7"/>
              </w:rPr>
              <w:t>D04-D06</w:t>
            </w:r>
          </w:p>
        </w:tc>
        <w:tc>
          <w:tcPr>
            <w:tcW w:type="dxa" w:w="5726"/>
            <w:vAlign w:val="center"/>
            <w:tcMar>
              <w:top w:w="80" w:type="dxa"/>
              <w:start w:w="90" w:type="dxa"/>
              <w:bottom w:w="80" w:type="dxa"/>
              <w:end w:w="90" w:type="dxa"/>
            </w:tcMar>
          </w:tcPr>
          <w:p>
            <w:pPr>
              <w:spacing w:after="0"/>
            </w:pPr>
            <w:r/>
            <w:r>
              <w:rPr>
                <w:rFonts w:ascii="Carlito" w:hAnsi="Carlito" w:eastAsia="Carlito"/>
                <w:b w:val="0"/>
                <w:color w:val="243447"/>
                <w:sz w:val="17"/>
              </w:rPr>
              <w:t>Ce que le système doit faire</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7"/>
              </w:rPr>
              <w:t>3. Fonder</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7"/>
              </w:rPr>
              <w:t>D07-D10</w:t>
            </w:r>
          </w:p>
        </w:tc>
        <w:tc>
          <w:tcPr>
            <w:tcW w:type="dxa" w:w="5726"/>
            <w:vAlign w:val="center"/>
            <w:tcMar>
              <w:top w:w="80" w:type="dxa"/>
              <w:start w:w="90" w:type="dxa"/>
              <w:bottom w:w="80" w:type="dxa"/>
              <w:end w:w="90" w:type="dxa"/>
            </w:tcMar>
            <w:shd w:fill="F2F2F2"/>
          </w:tcPr>
          <w:p>
            <w:pPr>
              <w:spacing w:after="0"/>
            </w:pPr>
            <w:r/>
            <w:r>
              <w:rPr>
                <w:rFonts w:ascii="Carlito" w:hAnsi="Carlito" w:eastAsia="Carlito"/>
                <w:b w:val="0"/>
                <w:color w:val="243447"/>
                <w:sz w:val="17"/>
              </w:rPr>
              <w:t>Comment calculer, selon quelles règles et comment prouver</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7"/>
              </w:rPr>
              <w:t>4. Concevoir</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7"/>
              </w:rPr>
              <w:t>D11-D15</w:t>
            </w:r>
          </w:p>
        </w:tc>
        <w:tc>
          <w:tcPr>
            <w:tcW w:type="dxa" w:w="5726"/>
            <w:vAlign w:val="center"/>
            <w:tcMar>
              <w:top w:w="80" w:type="dxa"/>
              <w:start w:w="90" w:type="dxa"/>
              <w:bottom w:w="80" w:type="dxa"/>
              <w:end w:w="90" w:type="dxa"/>
            </w:tcMar>
          </w:tcPr>
          <w:p>
            <w:pPr>
              <w:spacing w:after="0"/>
            </w:pPr>
            <w:r/>
            <w:r>
              <w:rPr>
                <w:rFonts w:ascii="Carlito" w:hAnsi="Carlito" w:eastAsia="Carlito"/>
                <w:b w:val="0"/>
                <w:color w:val="243447"/>
                <w:sz w:val="17"/>
              </w:rPr>
              <w:t>Comment construire, stocker, intégrer et sécuriser</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7"/>
              </w:rPr>
              <w:t>5. Exécuter</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7"/>
              </w:rPr>
              <w:t>D16-D19</w:t>
            </w:r>
          </w:p>
        </w:tc>
        <w:tc>
          <w:tcPr>
            <w:tcW w:type="dxa" w:w="5726"/>
            <w:vAlign w:val="center"/>
            <w:tcMar>
              <w:top w:w="80" w:type="dxa"/>
              <w:start w:w="90" w:type="dxa"/>
              <w:bottom w:w="80" w:type="dxa"/>
              <w:end w:w="90" w:type="dxa"/>
            </w:tcMar>
            <w:shd w:fill="F2F2F2"/>
          </w:tcPr>
          <w:p>
            <w:pPr>
              <w:spacing w:after="0"/>
            </w:pPr>
            <w:r/>
            <w:r>
              <w:rPr>
                <w:rFonts w:ascii="Carlito" w:hAnsi="Carlito" w:eastAsia="Carlito"/>
                <w:b w:val="0"/>
                <w:color w:val="243447"/>
                <w:sz w:val="17"/>
              </w:rPr>
              <w:t>Comment développer, tester et livrer</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7"/>
              </w:rPr>
              <w:t>6. Industrialiser</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7"/>
              </w:rPr>
              <w:t>D20</w:t>
            </w:r>
          </w:p>
        </w:tc>
        <w:tc>
          <w:tcPr>
            <w:tcW w:type="dxa" w:w="5726"/>
            <w:vAlign w:val="center"/>
            <w:tcMar>
              <w:top w:w="80" w:type="dxa"/>
              <w:start w:w="90" w:type="dxa"/>
              <w:bottom w:w="80" w:type="dxa"/>
              <w:end w:w="90" w:type="dxa"/>
            </w:tcMar>
          </w:tcPr>
          <w:p>
            <w:pPr>
              <w:spacing w:after="0"/>
            </w:pPr>
            <w:r/>
            <w:r>
              <w:rPr>
                <w:rFonts w:ascii="Carlito" w:hAnsi="Carlito" w:eastAsia="Carlito"/>
                <w:b w:val="0"/>
                <w:color w:val="243447"/>
                <w:sz w:val="17"/>
              </w:rPr>
              <w:t>Comment valider sur une installation réelle</w:t>
            </w:r>
          </w:p>
        </w:tc>
      </w:tr>
    </w:tbl>
    <w:p>
      <w:pPr>
        <w:spacing w:after="40"/>
      </w:pPr>
    </w:p>
    <w:p>
      <w:pPr>
        <w:pStyle w:val="Heading1"/>
      </w:pPr>
      <w:r>
        <w:t>4. Décisions consolidées</w:t>
      </w:r>
    </w:p>
    <w:p>
      <w:pPr>
        <w:pStyle w:val="ListBullet"/>
      </w:pPr>
      <w:r>
        <w:t>Équipe : deux développeurs appuyés par des experts ponctuels et une automatisation renforcée.</w:t>
      </w:r>
    </w:p>
    <w:p>
      <w:pPr>
        <w:pStyle w:val="ListBullet"/>
      </w:pPr>
      <w:r>
        <w:t>Socle : Python, FastAPI, PostgreSQL/PostGIS, React/TypeScript, NumPy/SciPy, fluids, CoolProp et Pyomo.</w:t>
      </w:r>
    </w:p>
    <w:p>
      <w:pPr>
        <w:pStyle w:val="ListBullet"/>
      </w:pPr>
      <w:r>
        <w:t>Architecture : monolithe modulaire pour le MVP, services spécialisés ultérieurement.</w:t>
      </w:r>
    </w:p>
    <w:p>
      <w:pPr>
        <w:pStyle w:val="ListBullet"/>
      </w:pPr>
      <w:r>
        <w:t>MVP : pipeline liquide stationnaire, stations et pompes, scénarios, réservoirs, transferts, données et rapports.</w:t>
      </w:r>
    </w:p>
    <w:p>
      <w:pPr>
        <w:pStyle w:val="ListBullet"/>
      </w:pPr>
      <w:r>
        <w:t>Normes : standards internationaux et exigences locales ; les documents russes servent uniquement de référence académique.</w:t>
      </w:r>
    </w:p>
    <w:p>
      <w:pPr>
        <w:pStyle w:val="ListBullet"/>
      </w:pPr>
      <w:r>
        <w:t>SCADA : lecture seule dans les premières versions ; aucune commande ou fonction de sécurité.</w:t>
      </w:r>
    </w:p>
    <w:p>
      <w:pPr>
        <w:pStyle w:val="ListBullet"/>
      </w:pPr>
      <w:r>
        <w:t>Validation : cas analytiques, benchmarks, cas académique fourni, puis site pilote.</w:t>
      </w:r>
    </w:p>
    <w:p>
      <w:pPr>
        <w:pStyle w:val="ListBullet"/>
      </w:pPr>
      <w:r>
        <w:t>Calendrier : environ 12 à 14 mois recommandé pour le MVP avec périmètre gelé.</w:t>
      </w:r>
    </w:p>
    <w:p>
      <w:pPr>
        <w:pStyle w:val="Heading1"/>
      </w:pPr>
      <w:r>
        <w:t>5. Hypothèses de baseline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551"/>
            <w:vAlign w:val="center"/>
            <w:tcMar>
              <w:top w:w="80" w:type="dxa"/>
              <w:start w:w="90" w:type="dxa"/>
              <w:bottom w:w="80" w:type="dxa"/>
              <w:end w:w="90" w:type="dxa"/>
            </w:tcMar>
            <w:shd w:fill="17365D"/>
          </w:tcPr>
          <w:p>
            <w:pPr>
              <w:spacing w:after="0"/>
            </w:pPr>
            <w:r/>
            <w:r>
              <w:rPr>
                <w:rFonts w:ascii="Carlito" w:hAnsi="Carlito" w:eastAsia="Carlito"/>
                <w:b/>
                <w:color w:val="FFFFFF"/>
                <w:sz w:val="17"/>
              </w:rPr>
              <w:t>Hypothèse</w:t>
            </w:r>
          </w:p>
        </w:tc>
        <w:tc>
          <w:tcPr>
            <w:tcW w:type="dxa" w:w="6860"/>
            <w:vAlign w:val="center"/>
            <w:tcMar>
              <w:top w:w="80" w:type="dxa"/>
              <w:start w:w="90" w:type="dxa"/>
              <w:bottom w:w="80" w:type="dxa"/>
              <w:end w:w="90" w:type="dxa"/>
            </w:tcMar>
            <w:shd w:fill="17365D"/>
          </w:tcPr>
          <w:p>
            <w:pPr>
              <w:spacing w:after="0"/>
            </w:pPr>
            <w:r/>
            <w:r>
              <w:rPr>
                <w:rFonts w:ascii="Carlito" w:hAnsi="Carlito" w:eastAsia="Carlito"/>
                <w:b/>
                <w:color w:val="FFFFFF"/>
                <w:sz w:val="17"/>
              </w:rPr>
              <w:t>Traitement</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Nom commercial</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Nom générique temporaire utilisé dans les documents</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Client prioritaire</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7"/>
              </w:rPr>
              <w:t>Bureaux d’études, exploitants de pipelines liquides et dépôts</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Déploiement</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Local et cloud privé avec le même produit</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Unité interne</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7"/>
              </w:rPr>
              <w:t>SI</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Langue</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Français, architecture internationalisable</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Site pilote</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7"/>
              </w:rPr>
              <w:t>À sélectionner après MVP/RC</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Budget</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Non chiffré faute de coûts salariaux et d’infrastructure</w:t>
            </w:r>
          </w:p>
        </w:tc>
      </w:tr>
      <w:tr>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Normes locales</w:t>
            </w:r>
          </w:p>
        </w:tc>
        <w:tc>
          <w:tcPr>
            <w:tcW w:type="dxa" w:w="6860"/>
            <w:vAlign w:val="center"/>
            <w:tcMar>
              <w:top w:w="80" w:type="dxa"/>
              <w:start w:w="90" w:type="dxa"/>
              <w:bottom w:w="80" w:type="dxa"/>
              <w:end w:w="90" w:type="dxa"/>
            </w:tcMar>
          </w:tcPr>
          <w:p>
            <w:pPr>
              <w:spacing w:after="0"/>
            </w:pPr>
            <w:r/>
            <w:r>
              <w:rPr>
                <w:rFonts w:ascii="Carlito" w:hAnsi="Carlito" w:eastAsia="Carlito"/>
                <w:b w:val="0"/>
                <w:color w:val="243447"/>
                <w:sz w:val="17"/>
              </w:rPr>
              <w:t>À confirmer officiellement par projet</w:t>
            </w:r>
          </w:p>
        </w:tc>
      </w:tr>
      <w:tr>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Données fabricant</w:t>
            </w:r>
          </w:p>
        </w:tc>
        <w:tc>
          <w:tcPr>
            <w:tcW w:type="dxa" w:w="6860"/>
            <w:vAlign w:val="center"/>
            <w:tcMar>
              <w:top w:w="80" w:type="dxa"/>
              <w:start w:w="90" w:type="dxa"/>
              <w:bottom w:w="80" w:type="dxa"/>
              <w:end w:w="90" w:type="dxa"/>
            </w:tcMar>
            <w:shd w:fill="F2F2F2"/>
          </w:tcPr>
          <w:p>
            <w:pPr>
              <w:spacing w:after="0"/>
            </w:pPr>
            <w:r/>
            <w:r>
              <w:rPr>
                <w:rFonts w:ascii="Carlito" w:hAnsi="Carlito" w:eastAsia="Carlito"/>
                <w:b w:val="0"/>
                <w:color w:val="243447"/>
                <w:sz w:val="17"/>
              </w:rPr>
              <w:t>À importer pour chaque cas réel</w:t>
            </w:r>
          </w:p>
        </w:tc>
      </w:tr>
    </w:tbl>
    <w:p>
      <w:pPr>
        <w:spacing w:after="40"/>
      </w:pPr>
    </w:p>
    <w:p>
      <w:pPr>
        <w:pStyle w:val="Heading1"/>
      </w:pPr>
      <w:r>
        <w:t>6. Utilisation des documents</w:t>
      </w:r>
    </w:p>
    <w:p>
      <w:pPr>
        <w:pStyle w:val="ListBullet"/>
      </w:pPr>
      <w:r>
        <w:t>D04 et D05 alimentent le backlog et les critères d’acceptation.</w:t>
      </w:r>
    </w:p>
    <w:p>
      <w:pPr>
        <w:pStyle w:val="ListBullet"/>
      </w:pPr>
      <w:r>
        <w:t>D07 et D10 gouvernent toute modification du noyau scientifique.</w:t>
      </w:r>
    </w:p>
    <w:p>
      <w:pPr>
        <w:pStyle w:val="ListBullet"/>
      </w:pPr>
      <w:r>
        <w:t>D08 gouverne le moteur de règles ; les textes officiels doivent être acquis légalement.</w:t>
      </w:r>
    </w:p>
    <w:p>
      <w:pPr>
        <w:pStyle w:val="ListBullet"/>
      </w:pPr>
      <w:r>
        <w:t>D09 à D13 servent à la conception détaillée et aux contrats techniques.</w:t>
      </w:r>
    </w:p>
    <w:p>
      <w:pPr>
        <w:pStyle w:val="ListBullet"/>
      </w:pPr>
      <w:r>
        <w:t>D14 conditionne l’adoption des dépendances et licences.</w:t>
      </w:r>
    </w:p>
    <w:p>
      <w:pPr>
        <w:pStyle w:val="ListBullet"/>
      </w:pPr>
      <w:r>
        <w:t>D15 est obligatoire avant toute intégration OT.</w:t>
      </w:r>
    </w:p>
    <w:p>
      <w:pPr>
        <w:pStyle w:val="ListBullet"/>
      </w:pPr>
      <w:r>
        <w:t>D16 est le plan opérationnel du MVP et doit être révisé à chaque jalon.</w:t>
      </w:r>
    </w:p>
    <w:p>
      <w:pPr>
        <w:pStyle w:val="ListBullet"/>
      </w:pPr>
      <w:r>
        <w:t>D20 n’est exécutable qu’après accord d’un opérateur et disponibilité des données.</w:t>
      </w:r>
    </w:p>
    <w:p>
      <w:pPr>
        <w:pStyle w:val="Heading1"/>
      </w:pPr>
      <w:r>
        <w:t>7. Éléments à confirmer pendant le projet</w:t>
      </w:r>
    </w:p>
    <w:p>
      <w:pPr>
        <w:pStyle w:val="ListBullet"/>
      </w:pPr>
      <w:r>
        <w:t>Nom du produit et identité visuelle.</w:t>
      </w:r>
    </w:p>
    <w:p>
      <w:pPr>
        <w:pStyle w:val="ListBullet"/>
      </w:pPr>
      <w:r>
        <w:t>Tarification, licence et modèle commercial.</w:t>
      </w:r>
    </w:p>
    <w:p>
      <w:pPr>
        <w:pStyle w:val="ListBullet"/>
      </w:pPr>
      <w:r>
        <w:t>Expert métier/normatif responsable des approbations.</w:t>
      </w:r>
    </w:p>
    <w:p>
      <w:pPr>
        <w:pStyle w:val="ListBullet"/>
      </w:pPr>
      <w:r>
        <w:t>Normes achetées et éditions contractuelles par projet.</w:t>
      </w:r>
    </w:p>
    <w:p>
      <w:pPr>
        <w:pStyle w:val="ListBullet"/>
      </w:pPr>
      <w:r>
        <w:t>Données réelles de pompes, compresseurs, produits et réservoirs.</w:t>
      </w:r>
    </w:p>
    <w:p>
      <w:pPr>
        <w:pStyle w:val="ListBullet"/>
      </w:pPr>
      <w:r>
        <w:t>Volumétrie SCADA et politique de rétention.</w:t>
      </w:r>
    </w:p>
    <w:p>
      <w:pPr>
        <w:pStyle w:val="ListBullet"/>
      </w:pPr>
      <w:r>
        <w:t>Opérateur et installation du site pilote.</w:t>
      </w:r>
    </w:p>
    <w:p>
      <w:pPr>
        <w:pStyle w:val="ListBullet"/>
      </w:pPr>
      <w:r>
        <w:t>Budget d’hébergement, de normes, de sécurité et de support.</w:t>
      </w:r>
    </w:p>
    <w:p>
      <w:pPr>
        <w:pStyle w:val="ListBullet"/>
      </w:pPr>
      <w:r>
        <w:t>Calendrier selon disponibilité réelle des deux développeurs.</w:t>
      </w:r>
    </w:p>
    <w:p>
      <w:pPr>
        <w:pStyle w:val="Heading1"/>
      </w:pPr>
      <w:r>
        <w:t>8. Gestion des versions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701"/>
            <w:vAlign w:val="center"/>
            <w:tcMar>
              <w:top w:w="80" w:type="dxa"/>
              <w:start w:w="90" w:type="dxa"/>
              <w:bottom w:w="80" w:type="dxa"/>
              <w:end w:w="90" w:type="dxa"/>
            </w:tcMar>
            <w:shd w:fill="17365D"/>
          </w:tcPr>
          <w:p>
            <w:pPr>
              <w:spacing w:after="0"/>
            </w:pPr>
            <w:r/>
            <w:r>
              <w:rPr>
                <w:rFonts w:ascii="Carlito" w:hAnsi="Carlito" w:eastAsia="Carlito"/>
                <w:b/>
                <w:color w:val="FFFFFF"/>
                <w:sz w:val="17"/>
              </w:rPr>
              <w:t>Version</w:t>
            </w:r>
          </w:p>
        </w:tc>
        <w:tc>
          <w:tcPr>
            <w:tcW w:type="dxa" w:w="2551"/>
            <w:vAlign w:val="center"/>
            <w:tcMar>
              <w:top w:w="80" w:type="dxa"/>
              <w:start w:w="90" w:type="dxa"/>
              <w:bottom w:w="80" w:type="dxa"/>
              <w:end w:w="90" w:type="dxa"/>
            </w:tcMar>
            <w:shd w:fill="17365D"/>
          </w:tcPr>
          <w:p>
            <w:pPr>
              <w:spacing w:after="0"/>
            </w:pPr>
            <w:r/>
            <w:r>
              <w:rPr>
                <w:rFonts w:ascii="Carlito" w:hAnsi="Carlito" w:eastAsia="Carlito"/>
                <w:b/>
                <w:color w:val="FFFFFF"/>
                <w:sz w:val="17"/>
              </w:rPr>
              <w:t>Statut</w:t>
            </w:r>
          </w:p>
        </w:tc>
        <w:tc>
          <w:tcPr>
            <w:tcW w:type="dxa" w:w="5159"/>
            <w:vAlign w:val="center"/>
            <w:tcMar>
              <w:top w:w="80" w:type="dxa"/>
              <w:start w:w="90" w:type="dxa"/>
              <w:bottom w:w="80" w:type="dxa"/>
              <w:end w:w="90" w:type="dxa"/>
            </w:tcMar>
            <w:shd w:fill="17365D"/>
          </w:tcPr>
          <w:p>
            <w:pPr>
              <w:spacing w:after="0"/>
            </w:pPr>
            <w:r/>
            <w:r>
              <w:rPr>
                <w:rFonts w:ascii="Carlito" w:hAnsi="Carlito" w:eastAsia="Carlito"/>
                <w:b/>
                <w:color w:val="FFFFFF"/>
                <w:sz w:val="17"/>
              </w:rPr>
              <w:t>Règle</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7"/>
              </w:rPr>
              <w:t>1.0</w:t>
            </w:r>
          </w:p>
        </w:tc>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Baseline initiale</w:t>
            </w:r>
          </w:p>
        </w:tc>
        <w:tc>
          <w:tcPr>
            <w:tcW w:type="dxa" w:w="5159"/>
            <w:vAlign w:val="center"/>
            <w:tcMar>
              <w:top w:w="80" w:type="dxa"/>
              <w:start w:w="90" w:type="dxa"/>
              <w:bottom w:w="80" w:type="dxa"/>
              <w:end w:w="90" w:type="dxa"/>
            </w:tcMar>
            <w:shd w:fill="F2F2F2"/>
          </w:tcPr>
          <w:p>
            <w:pPr>
              <w:spacing w:after="0"/>
            </w:pPr>
            <w:r/>
            <w:r>
              <w:rPr>
                <w:rFonts w:ascii="Carlito" w:hAnsi="Carlito" w:eastAsia="Carlito"/>
                <w:b w:val="0"/>
                <w:color w:val="243447"/>
                <w:sz w:val="17"/>
              </w:rPr>
              <w:t>Tous les documents D01-D20 livrés</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7"/>
              </w:rPr>
              <w:t>1.x</w:t>
            </w:r>
          </w:p>
        </w:tc>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Révisions mineures</w:t>
            </w:r>
          </w:p>
        </w:tc>
        <w:tc>
          <w:tcPr>
            <w:tcW w:type="dxa" w:w="5159"/>
            <w:vAlign w:val="center"/>
            <w:tcMar>
              <w:top w:w="80" w:type="dxa"/>
              <w:start w:w="90" w:type="dxa"/>
              <w:bottom w:w="80" w:type="dxa"/>
              <w:end w:w="90" w:type="dxa"/>
            </w:tcMar>
          </w:tcPr>
          <w:p>
            <w:pPr>
              <w:spacing w:after="0"/>
            </w:pPr>
            <w:r/>
            <w:r>
              <w:rPr>
                <w:rFonts w:ascii="Carlito" w:hAnsi="Carlito" w:eastAsia="Carlito"/>
                <w:b w:val="0"/>
                <w:color w:val="243447"/>
                <w:sz w:val="17"/>
              </w:rPr>
              <w:t>Clarifications sans changement majeur de périmètre</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7"/>
              </w:rPr>
              <w:t>2.0</w:t>
            </w:r>
          </w:p>
        </w:tc>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Après POC/architecture</w:t>
            </w:r>
          </w:p>
        </w:tc>
        <w:tc>
          <w:tcPr>
            <w:tcW w:type="dxa" w:w="5159"/>
            <w:vAlign w:val="center"/>
            <w:tcMar>
              <w:top w:w="80" w:type="dxa"/>
              <w:start w:w="90" w:type="dxa"/>
              <w:bottom w:w="80" w:type="dxa"/>
              <w:end w:w="90" w:type="dxa"/>
            </w:tcMar>
            <w:shd w:fill="F2F2F2"/>
          </w:tcPr>
          <w:p>
            <w:pPr>
              <w:spacing w:after="0"/>
            </w:pPr>
            <w:r/>
            <w:r>
              <w:rPr>
                <w:rFonts w:ascii="Carlito" w:hAnsi="Carlito" w:eastAsia="Carlito"/>
                <w:b w:val="0"/>
                <w:color w:val="243447"/>
                <w:sz w:val="17"/>
              </w:rPr>
              <w:t>Décisions techniques et exigences ajustées</w:t>
            </w:r>
          </w:p>
        </w:tc>
      </w:tr>
      <w:tr>
        <w:tc>
          <w:tcPr>
            <w:tcW w:type="dxa" w:w="1701"/>
            <w:vAlign w:val="center"/>
            <w:tcMar>
              <w:top w:w="80" w:type="dxa"/>
              <w:start w:w="90" w:type="dxa"/>
              <w:bottom w:w="80" w:type="dxa"/>
              <w:end w:w="90" w:type="dxa"/>
            </w:tcMar>
          </w:tcPr>
          <w:p>
            <w:pPr>
              <w:spacing w:after="0"/>
            </w:pPr>
            <w:r/>
            <w:r>
              <w:rPr>
                <w:rFonts w:ascii="Carlito" w:hAnsi="Carlito" w:eastAsia="Carlito"/>
                <w:b w:val="0"/>
                <w:color w:val="243447"/>
                <w:sz w:val="17"/>
              </w:rPr>
              <w:t>3.0</w:t>
            </w:r>
          </w:p>
        </w:tc>
        <w:tc>
          <w:tcPr>
            <w:tcW w:type="dxa" w:w="2551"/>
            <w:vAlign w:val="center"/>
            <w:tcMar>
              <w:top w:w="80" w:type="dxa"/>
              <w:start w:w="90" w:type="dxa"/>
              <w:bottom w:w="80" w:type="dxa"/>
              <w:end w:w="90" w:type="dxa"/>
            </w:tcMar>
          </w:tcPr>
          <w:p>
            <w:pPr>
              <w:spacing w:after="0"/>
            </w:pPr>
            <w:r/>
            <w:r>
              <w:rPr>
                <w:rFonts w:ascii="Carlito" w:hAnsi="Carlito" w:eastAsia="Carlito"/>
                <w:b w:val="0"/>
                <w:color w:val="243447"/>
                <w:sz w:val="17"/>
              </w:rPr>
              <w:t>Après MVP</w:t>
            </w:r>
          </w:p>
        </w:tc>
        <w:tc>
          <w:tcPr>
            <w:tcW w:type="dxa" w:w="5159"/>
            <w:vAlign w:val="center"/>
            <w:tcMar>
              <w:top w:w="80" w:type="dxa"/>
              <w:start w:w="90" w:type="dxa"/>
              <w:bottom w:w="80" w:type="dxa"/>
              <w:end w:w="90" w:type="dxa"/>
            </w:tcMar>
          </w:tcPr>
          <w:p>
            <w:pPr>
              <w:spacing w:after="0"/>
            </w:pPr>
            <w:r/>
            <w:r>
              <w:rPr>
                <w:rFonts w:ascii="Carlito" w:hAnsi="Carlito" w:eastAsia="Carlito"/>
                <w:b w:val="0"/>
                <w:color w:val="243447"/>
                <w:sz w:val="17"/>
              </w:rPr>
              <w:t>Documentation alignée sur le produit réel</w:t>
            </w:r>
          </w:p>
        </w:tc>
      </w:tr>
      <w:tr>
        <w:tc>
          <w:tcPr>
            <w:tcW w:type="dxa" w:w="1701"/>
            <w:vAlign w:val="center"/>
            <w:tcMar>
              <w:top w:w="80" w:type="dxa"/>
              <w:start w:w="90" w:type="dxa"/>
              <w:bottom w:w="80" w:type="dxa"/>
              <w:end w:w="90" w:type="dxa"/>
            </w:tcMar>
            <w:shd w:fill="F2F2F2"/>
          </w:tcPr>
          <w:p>
            <w:pPr>
              <w:spacing w:after="0"/>
            </w:pPr>
            <w:r/>
            <w:r>
              <w:rPr>
                <w:rFonts w:ascii="Carlito" w:hAnsi="Carlito" w:eastAsia="Carlito"/>
                <w:b w:val="0"/>
                <w:color w:val="243447"/>
                <w:sz w:val="17"/>
              </w:rPr>
              <w:t>4.0</w:t>
            </w:r>
          </w:p>
        </w:tc>
        <w:tc>
          <w:tcPr>
            <w:tcW w:type="dxa" w:w="2551"/>
            <w:vAlign w:val="center"/>
            <w:tcMar>
              <w:top w:w="80" w:type="dxa"/>
              <w:start w:w="90" w:type="dxa"/>
              <w:bottom w:w="80" w:type="dxa"/>
              <w:end w:w="90" w:type="dxa"/>
            </w:tcMar>
            <w:shd w:fill="F2F2F2"/>
          </w:tcPr>
          <w:p>
            <w:pPr>
              <w:spacing w:after="0"/>
            </w:pPr>
            <w:r/>
            <w:r>
              <w:rPr>
                <w:rFonts w:ascii="Carlito" w:hAnsi="Carlito" w:eastAsia="Carlito"/>
                <w:b w:val="0"/>
                <w:color w:val="243447"/>
                <w:sz w:val="17"/>
              </w:rPr>
              <w:t>Après pilote</w:t>
            </w:r>
          </w:p>
        </w:tc>
        <w:tc>
          <w:tcPr>
            <w:tcW w:type="dxa" w:w="5159"/>
            <w:vAlign w:val="center"/>
            <w:tcMar>
              <w:top w:w="80" w:type="dxa"/>
              <w:start w:w="90" w:type="dxa"/>
              <w:bottom w:w="80" w:type="dxa"/>
              <w:end w:w="90" w:type="dxa"/>
            </w:tcMar>
            <w:shd w:fill="F2F2F2"/>
          </w:tcPr>
          <w:p>
            <w:pPr>
              <w:spacing w:after="0"/>
            </w:pPr>
            <w:r/>
            <w:r>
              <w:rPr>
                <w:rFonts w:ascii="Carlito" w:hAnsi="Carlito" w:eastAsia="Carlito"/>
                <w:b w:val="0"/>
                <w:color w:val="243447"/>
                <w:sz w:val="17"/>
              </w:rPr>
              <w:t>Référentiel industriel et critères validés</w:t>
            </w:r>
          </w:p>
        </w:tc>
      </w:tr>
    </w:tbl>
    <w:p>
      <w:pPr>
        <w:spacing w:after="40"/>
      </w:pPr>
    </w:p>
    <w:p>
      <w:pPr>
        <w:pStyle w:val="Heading1"/>
      </w:pPr>
      <w:r>
        <w:t>Sources et références</w:t>
      </w:r>
    </w:p>
    <w:p>
      <w:pPr>
        <w:pStyle w:val="ListBullet"/>
      </w:pPr>
      <w:r>
        <w:t>Documents D01 à D20 contenus dans le même dossier.</w:t>
      </w:r>
    </w:p>
    <w:p>
      <w:pPr>
        <w:pStyle w:val="ListBullet"/>
      </w:pPr>
      <w:r>
        <w:t>Sources techniques et normatives citées dans D07, D08 et D14.</w:t>
      </w:r>
    </w:p>
    <w:p>
      <w:pPr>
        <w:spacing w:before="360"/>
        <w:jc w:val="center"/>
      </w:pPr>
      <w:r>
        <w:rPr>
          <w:i/>
          <w:color w:val="7B8794"/>
          <w:sz w:val="16"/>
        </w:rPr>
        <w:t>Fin de l’index - baseline documentaire v1.0</w:t>
      </w:r>
    </w:p>
    <w:sectPr w:rsidR="00FC693F" w:rsidRPr="0006063C" w:rsidSect="00034616">
      <w:headerReference w:type="default" r:id="rId9"/>
      <w:footerReference w:type="default" r:id="rId10"/>
      <w:pgSz w:w="11906" w:h="16838"/>
      <w:pgMar w:top="1020" w:right="907"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Pr>
        <w:rFonts w:ascii="Carlito" w:hAnsi="Carlito"/>
        <w:color w:val="6B7785"/>
        <w:sz w:val="14"/>
      </w:rPr>
      <w:t>Version 1.0 • 2 août 2026 • Document de conception - non certifiant</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rlito" w:hAnsi="Carlito"/>
        <w:color w:val="0F6B78"/>
        <w:sz w:val="15"/>
      </w:rPr>
      <w:t>D00  |  Plateforme Hydrocarbures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eastAsia="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0F6B7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2434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Carlito" w:hAnsi="Carlito" w:eastAsia="Carlit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Carlito" w:hAnsi="Carlito" w:eastAsia="Carlit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Index du dossier documentaire complet</dc:title>
  <dc:subject>Plateforme de transport et de stockage des hydrocarbures</dc:subject>
  <dc:creator>Équipe projet (2 développeurs)</dc:creator>
  <cp:keywords>pipeline, hydrocarbures, stockage, pompes, gaz, simulation, Python, PostgreSQL</cp:keywords>
  <dc:description>Document généré dans le cadre du dossier de conception.</dc:description>
  <cp:lastModifiedBy/>
  <cp:revision>1</cp:revision>
  <dcterms:created xsi:type="dcterms:W3CDTF">2013-12-23T23:15:00Z</dcterms:created>
  <dcterms:modified xsi:type="dcterms:W3CDTF">2013-12-23T23:15:00Z</dcterms:modified>
  <cp:category/>
</cp:coreProperties>
</file>