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D03</w:t>
      </w:r>
    </w:p>
    <w:p>
      <w:pPr>
        <w:spacing w:before="160"/>
        <w:jc w:val="center"/>
      </w:pPr>
      <w:r>
        <w:rPr>
          <w:rFonts w:ascii="Liberation Sans" w:hAnsi="Liberation Sans"/>
          <w:b/>
          <w:color w:val="17365D"/>
          <w:sz w:val="52"/>
        </w:rPr>
        <w:t>Cartographie des acteurs et processus métier</w:t>
      </w:r>
    </w:p>
    <w:p>
      <w:pPr>
        <w:spacing w:before="200"/>
        <w:jc w:val="center"/>
      </w:pPr>
      <w:r>
        <w:rPr>
          <w:rFonts w:ascii="Carlito" w:hAnsi="Carlito"/>
          <w:i/>
          <w:color w:val="243447"/>
          <w:sz w:val="25"/>
        </w:rPr>
        <w:t>Rôles, responsabilités, flux de travail et documents métier</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D03</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Acteurs</w:t>
      </w:r>
    </w:p>
    <w:p>
      <w:pPr>
        <w:pStyle w:val="ListNumber"/>
      </w:pPr>
      <w:r>
        <w:t>Cycle de vie d’un projet</w:t>
      </w:r>
    </w:p>
    <w:p>
      <w:pPr>
        <w:pStyle w:val="ListNumber"/>
      </w:pPr>
      <w:r>
        <w:t>Processus pipeline</w:t>
      </w:r>
    </w:p>
    <w:p>
      <w:pPr>
        <w:pStyle w:val="ListNumber"/>
      </w:pPr>
      <w:r>
        <w:t>Processus dépôt et stockage</w:t>
      </w:r>
    </w:p>
    <w:p>
      <w:pPr>
        <w:pStyle w:val="ListNumber"/>
      </w:pPr>
      <w:r>
        <w:t>Processus données</w:t>
      </w:r>
    </w:p>
    <w:p>
      <w:pPr>
        <w:pStyle w:val="ListNumber"/>
      </w:pPr>
      <w:r>
        <w:t>Processus incidents</w:t>
      </w:r>
    </w:p>
    <w:p>
      <w:pPr>
        <w:pStyle w:val="ListNumber"/>
      </w:pPr>
      <w:r>
        <w:t>RACI</w:t>
      </w:r>
    </w:p>
    <w:p>
      <w:pPr>
        <w:pStyle w:val="ListNumber"/>
      </w:pPr>
      <w:r>
        <w:t>Documents métier</w:t>
      </w:r>
    </w:p>
    <w:p>
      <w:pPr>
        <w:pStyle w:val="ListNumber"/>
      </w:pPr>
      <w:r>
        <w:t>Points de contrôle</w:t>
      </w:r>
    </w:p>
    <w:p>
      <w:r>
        <w:rPr>
          <w:i/>
          <w:color w:val="6B7785"/>
          <w:sz w:val="17"/>
        </w:rPr>
        <w:t>La pagination peut évoluer après validation et mise en forme finale dans Microsoft Word ou LibreOffice.</w:t>
      </w:r>
    </w:p>
    <w:p>
      <w:r>
        <w:br w:type="page"/>
      </w:r>
    </w:p>
    <w:p>
      <w:pPr>
        <w:pStyle w:val="Heading1"/>
      </w:pPr>
      <w:r>
        <w:t>1. Acteurs de l’écosystème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57"/>
            <w:vAlign w:val="center"/>
            <w:tcMar>
              <w:top w:w="80" w:type="dxa"/>
              <w:start w:w="90" w:type="dxa"/>
              <w:bottom w:w="80" w:type="dxa"/>
              <w:end w:w="90" w:type="dxa"/>
            </w:tcMar>
            <w:shd w:fill="17365D"/>
          </w:tcPr>
          <w:p>
            <w:pPr>
              <w:spacing w:after="0"/>
            </w:pPr>
            <w:r/>
            <w:r>
              <w:rPr>
                <w:rFonts w:ascii="Carlito" w:hAnsi="Carlito" w:eastAsia="Carlito"/>
                <w:b/>
                <w:color w:val="FFFFFF"/>
                <w:sz w:val="16"/>
              </w:rPr>
              <w:t>Acteur</w:t>
            </w:r>
          </w:p>
        </w:tc>
        <w:tc>
          <w:tcPr>
            <w:tcW w:type="dxa" w:w="3685"/>
            <w:vAlign w:val="center"/>
            <w:tcMar>
              <w:top w:w="80" w:type="dxa"/>
              <w:start w:w="90" w:type="dxa"/>
              <w:bottom w:w="80" w:type="dxa"/>
              <w:end w:w="90" w:type="dxa"/>
            </w:tcMar>
            <w:shd w:fill="17365D"/>
          </w:tcPr>
          <w:p>
            <w:pPr>
              <w:spacing w:after="0"/>
            </w:pPr>
            <w:r/>
            <w:r>
              <w:rPr>
                <w:rFonts w:ascii="Carlito" w:hAnsi="Carlito" w:eastAsia="Carlito"/>
                <w:b/>
                <w:color w:val="FFFFFF"/>
                <w:sz w:val="16"/>
              </w:rPr>
              <w:t>Responsabilités</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Besoins dans la plateforme</w:t>
            </w:r>
          </w:p>
        </w:tc>
      </w:tr>
      <w:tr>
        <w:tc>
          <w:tcPr>
            <w:tcW w:type="dxa" w:w="1757"/>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 pipeline</w:t>
            </w:r>
          </w:p>
        </w:tc>
        <w:tc>
          <w:tcPr>
            <w:tcW w:type="dxa" w:w="3685"/>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Modélisation, calcul, vérification et dimensionnement</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Éditeur réseau, solveur, profils, rapports</w:t>
            </w:r>
          </w:p>
        </w:tc>
      </w:tr>
      <w:tr>
        <w:tc>
          <w:tcPr>
            <w:tcW w:type="dxa" w:w="1757"/>
            <w:vAlign w:val="center"/>
            <w:tcMar>
              <w:top w:w="80" w:type="dxa"/>
              <w:start w:w="90" w:type="dxa"/>
              <w:bottom w:w="80" w:type="dxa"/>
              <w:end w:w="90" w:type="dxa"/>
            </w:tcMar>
          </w:tcPr>
          <w:p>
            <w:pPr>
              <w:spacing w:after="0"/>
            </w:pPr>
            <w:r/>
            <w:r>
              <w:rPr>
                <w:rFonts w:ascii="Carlito" w:hAnsi="Carlito" w:eastAsia="Carlito"/>
                <w:b w:val="0"/>
                <w:color w:val="243447"/>
                <w:sz w:val="16"/>
              </w:rPr>
              <w:t>Ingénieur exploitation</w:t>
            </w:r>
          </w:p>
        </w:tc>
        <w:tc>
          <w:tcPr>
            <w:tcW w:type="dxa" w:w="3685"/>
            <w:vAlign w:val="center"/>
            <w:tcMar>
              <w:top w:w="80" w:type="dxa"/>
              <w:start w:w="90" w:type="dxa"/>
              <w:bottom w:w="80" w:type="dxa"/>
              <w:end w:w="90" w:type="dxa"/>
            </w:tcMar>
          </w:tcPr>
          <w:p>
            <w:pPr>
              <w:spacing w:after="0"/>
            </w:pPr>
            <w:r/>
            <w:r>
              <w:rPr>
                <w:rFonts w:ascii="Carlito" w:hAnsi="Carlito" w:eastAsia="Carlito"/>
                <w:b w:val="0"/>
                <w:color w:val="243447"/>
                <w:sz w:val="16"/>
              </w:rPr>
              <w:t>Définition des modes et consignes</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Scénarios, contraintes, prévisions</w:t>
            </w:r>
          </w:p>
        </w:tc>
      </w:tr>
      <w:tr>
        <w:tc>
          <w:tcPr>
            <w:tcW w:type="dxa" w:w="1757"/>
            <w:vAlign w:val="center"/>
            <w:tcMar>
              <w:top w:w="80" w:type="dxa"/>
              <w:start w:w="90" w:type="dxa"/>
              <w:bottom w:w="80" w:type="dxa"/>
              <w:end w:w="90" w:type="dxa"/>
            </w:tcMar>
            <w:shd w:fill="F2F2F2"/>
          </w:tcPr>
          <w:p>
            <w:pPr>
              <w:spacing w:after="0"/>
            </w:pPr>
            <w:r/>
            <w:r>
              <w:rPr>
                <w:rFonts w:ascii="Carlito" w:hAnsi="Carlito" w:eastAsia="Carlito"/>
                <w:b w:val="0"/>
                <w:color w:val="243447"/>
                <w:sz w:val="16"/>
              </w:rPr>
              <w:t>Opérateur/dispatcher</w:t>
            </w:r>
          </w:p>
        </w:tc>
        <w:tc>
          <w:tcPr>
            <w:tcW w:type="dxa" w:w="368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Conduite opérationnelle et suivi des mouvements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Tableaux de bord, alertes, chronologie</w:t>
            </w:r>
          </w:p>
        </w:tc>
      </w:tr>
      <w:tr>
        <w:tc>
          <w:tcPr>
            <w:tcW w:type="dxa" w:w="1757"/>
            <w:vAlign w:val="center"/>
            <w:tcMar>
              <w:top w:w="80" w:type="dxa"/>
              <w:start w:w="90" w:type="dxa"/>
              <w:bottom w:w="80" w:type="dxa"/>
              <w:end w:w="90" w:type="dxa"/>
            </w:tcMar>
          </w:tcPr>
          <w:p>
            <w:pPr>
              <w:spacing w:after="0"/>
            </w:pPr>
            <w:r/>
            <w:r>
              <w:rPr>
                <w:rFonts w:ascii="Carlito" w:hAnsi="Carlito" w:eastAsia="Carlito"/>
                <w:b w:val="0"/>
                <w:color w:val="243447"/>
                <w:sz w:val="16"/>
              </w:rPr>
              <w:t>Ingénieur dépôt</w:t>
            </w:r>
          </w:p>
        </w:tc>
        <w:tc>
          <w:tcPr>
            <w:tcW w:type="dxa" w:w="3685"/>
            <w:vAlign w:val="center"/>
            <w:tcMar>
              <w:top w:w="80" w:type="dxa"/>
              <w:start w:w="90" w:type="dxa"/>
              <w:bottom w:w="80" w:type="dxa"/>
              <w:end w:w="90" w:type="dxa"/>
            </w:tcMar>
          </w:tcPr>
          <w:p>
            <w:pPr>
              <w:spacing w:after="0"/>
            </w:pPr>
            <w:r/>
            <w:r>
              <w:rPr>
                <w:rFonts w:ascii="Carlito" w:hAnsi="Carlito" w:eastAsia="Carlito"/>
                <w:b w:val="0"/>
                <w:color w:val="243447"/>
                <w:sz w:val="16"/>
              </w:rPr>
              <w:t>Réservoirs, transferts, réception/expédition</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Barémage, stocks, chemins de transfert</w:t>
            </w:r>
          </w:p>
        </w:tc>
      </w:tr>
      <w:tr>
        <w:tc>
          <w:tcPr>
            <w:tcW w:type="dxa" w:w="1757"/>
            <w:vAlign w:val="center"/>
            <w:tcMar>
              <w:top w:w="80" w:type="dxa"/>
              <w:start w:w="90" w:type="dxa"/>
              <w:bottom w:w="80" w:type="dxa"/>
              <w:end w:w="90" w:type="dxa"/>
            </w:tcMar>
            <w:shd w:fill="F2F2F2"/>
          </w:tcPr>
          <w:p>
            <w:pPr>
              <w:spacing w:after="0"/>
            </w:pPr>
            <w:r/>
            <w:r>
              <w:rPr>
                <w:rFonts w:ascii="Carlito" w:hAnsi="Carlito" w:eastAsia="Carlito"/>
                <w:b w:val="0"/>
                <w:color w:val="243447"/>
                <w:sz w:val="16"/>
              </w:rPr>
              <w:t>Maintenance</w:t>
            </w:r>
          </w:p>
        </w:tc>
        <w:tc>
          <w:tcPr>
            <w:tcW w:type="dxa" w:w="3685"/>
            <w:vAlign w:val="center"/>
            <w:tcMar>
              <w:top w:w="80" w:type="dxa"/>
              <w:start w:w="90" w:type="dxa"/>
              <w:bottom w:w="80" w:type="dxa"/>
              <w:end w:w="90" w:type="dxa"/>
            </w:tcMar>
            <w:shd w:fill="F2F2F2"/>
          </w:tcPr>
          <w:p>
            <w:pPr>
              <w:spacing w:after="0"/>
            </w:pPr>
            <w:r/>
            <w:r>
              <w:rPr>
                <w:rFonts w:ascii="Carlito" w:hAnsi="Carlito" w:eastAsia="Carlito"/>
                <w:b w:val="0"/>
                <w:color w:val="243447"/>
                <w:sz w:val="16"/>
              </w:rPr>
              <w:t>Disponibilité et fiabilité des équipements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Historique, heures de marche, pannes</w:t>
            </w:r>
          </w:p>
        </w:tc>
      </w:tr>
      <w:tr>
        <w:tc>
          <w:tcPr>
            <w:tcW w:type="dxa" w:w="1757"/>
            <w:vAlign w:val="center"/>
            <w:tcMar>
              <w:top w:w="80" w:type="dxa"/>
              <w:start w:w="90" w:type="dxa"/>
              <w:bottom w:w="80" w:type="dxa"/>
              <w:end w:w="90" w:type="dxa"/>
            </w:tcMar>
          </w:tcPr>
          <w:p>
            <w:pPr>
              <w:spacing w:after="0"/>
            </w:pPr>
            <w:r/>
            <w:r>
              <w:rPr>
                <w:rFonts w:ascii="Carlito" w:hAnsi="Carlito" w:eastAsia="Carlito"/>
                <w:b w:val="0"/>
                <w:color w:val="243447"/>
                <w:sz w:val="16"/>
              </w:rPr>
              <w:t>HSE/Process safety</w:t>
            </w:r>
          </w:p>
        </w:tc>
        <w:tc>
          <w:tcPr>
            <w:tcW w:type="dxa" w:w="3685"/>
            <w:vAlign w:val="center"/>
            <w:tcMar>
              <w:top w:w="80" w:type="dxa"/>
              <w:start w:w="90" w:type="dxa"/>
              <w:bottom w:w="80" w:type="dxa"/>
              <w:end w:w="90" w:type="dxa"/>
            </w:tcMar>
          </w:tcPr>
          <w:p>
            <w:pPr>
              <w:spacing w:after="0"/>
            </w:pPr>
            <w:r/>
            <w:r>
              <w:rPr>
                <w:rFonts w:ascii="Carlito" w:hAnsi="Carlito" w:eastAsia="Carlito"/>
                <w:b w:val="0"/>
                <w:color w:val="243447"/>
                <w:sz w:val="16"/>
              </w:rPr>
              <w:t>Analyse des risques et préparation aux incidents</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Scénarios, limites, rapports</w:t>
            </w:r>
          </w:p>
        </w:tc>
      </w:tr>
      <w:tr>
        <w:tc>
          <w:tcPr>
            <w:tcW w:type="dxa" w:w="1757"/>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Analyste de données</w:t>
            </w:r>
          </w:p>
        </w:tc>
        <w:tc>
          <w:tcPr>
            <w:tcW w:type="dxa" w:w="3685"/>
            <w:vAlign w:val="center"/>
            <w:tcMar>
              <w:top w:w="80" w:type="dxa"/>
              <w:start w:w="90" w:type="dxa"/>
              <w:bottom w:w="80" w:type="dxa"/>
              <w:end w:w="90" w:type="dxa"/>
            </w:tcMar>
            <w:shd w:fill="F2F2F2"/>
          </w:tcPr>
          <w:p>
            <w:pPr>
              <w:spacing w:after="0"/>
            </w:pPr>
            <w:r/>
            <w:r>
              <w:rPr>
                <w:rFonts w:ascii="Carlito" w:hAnsi="Carlito" w:eastAsia="Carlito"/>
                <w:b w:val="0"/>
                <w:color w:val="243447"/>
                <w:sz w:val="16"/>
              </w:rPr>
              <w:t>Qualité, rapprochement, anomalies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Historique, notebooks, modèles</w:t>
            </w:r>
          </w:p>
        </w:tc>
      </w:tr>
      <w:tr>
        <w:tc>
          <w:tcPr>
            <w:tcW w:type="dxa" w:w="1757"/>
            <w:vAlign w:val="center"/>
            <w:tcMar>
              <w:top w:w="80" w:type="dxa"/>
              <w:start w:w="90" w:type="dxa"/>
              <w:bottom w:w="80" w:type="dxa"/>
              <w:end w:w="90" w:type="dxa"/>
            </w:tcMar>
          </w:tcPr>
          <w:p>
            <w:pPr>
              <w:spacing w:after="0"/>
            </w:pPr>
            <w:r/>
            <w:r>
              <w:rPr>
                <w:rFonts w:ascii="Carlito" w:hAnsi="Carlito" w:eastAsia="Carlito"/>
                <w:b w:val="0"/>
                <w:color w:val="243447"/>
                <w:sz w:val="16"/>
              </w:rPr>
              <w:t>Administrateur</w:t>
            </w:r>
          </w:p>
        </w:tc>
        <w:tc>
          <w:tcPr>
            <w:tcW w:type="dxa" w:w="3685"/>
            <w:vAlign w:val="center"/>
            <w:tcMar>
              <w:top w:w="80" w:type="dxa"/>
              <w:start w:w="90" w:type="dxa"/>
              <w:bottom w:w="80" w:type="dxa"/>
              <w:end w:w="90" w:type="dxa"/>
            </w:tcMar>
          </w:tcPr>
          <w:p>
            <w:pPr>
              <w:spacing w:after="0"/>
            </w:pPr>
            <w:r/>
            <w:r>
              <w:rPr>
                <w:rFonts w:ascii="Carlito" w:hAnsi="Carlito" w:eastAsia="Carlito"/>
                <w:b w:val="0"/>
                <w:color w:val="243447"/>
                <w:sz w:val="16"/>
              </w:rPr>
              <w:t>Comptes, référentiels, sécurité</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RBAC, audit, sauvegardes</w:t>
            </w:r>
          </w:p>
        </w:tc>
      </w:tr>
      <w:tr>
        <w:tc>
          <w:tcPr>
            <w:tcW w:type="dxa" w:w="1757"/>
            <w:vAlign w:val="center"/>
            <w:tcMar>
              <w:top w:w="80" w:type="dxa"/>
              <w:start w:w="90" w:type="dxa"/>
              <w:bottom w:w="80" w:type="dxa"/>
              <w:end w:w="90" w:type="dxa"/>
            </w:tcMar>
            <w:shd w:fill="F2F2F2"/>
          </w:tcPr>
          <w:p>
            <w:pPr>
              <w:spacing w:after="0"/>
            </w:pPr>
            <w:r/>
            <w:r>
              <w:rPr>
                <w:rFonts w:ascii="Carlito" w:hAnsi="Carlito" w:eastAsia="Carlito"/>
                <w:b w:val="0"/>
                <w:color w:val="243447"/>
                <w:sz w:val="16"/>
              </w:rPr>
              <w:t>Direction</w:t>
            </w:r>
          </w:p>
        </w:tc>
        <w:tc>
          <w:tcPr>
            <w:tcW w:type="dxa" w:w="3685"/>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Pilotage et arbitrage</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KPI et synthèses</w:t>
            </w:r>
          </w:p>
        </w:tc>
      </w:tr>
      <w:tr>
        <w:tc>
          <w:tcPr>
            <w:tcW w:type="dxa" w:w="1757"/>
            <w:vAlign w:val="center"/>
            <w:tcMar>
              <w:top w:w="80" w:type="dxa"/>
              <w:start w:w="90" w:type="dxa"/>
              <w:bottom w:w="80" w:type="dxa"/>
              <w:end w:w="90" w:type="dxa"/>
            </w:tcMar>
          </w:tcPr>
          <w:p>
            <w:pPr>
              <w:spacing w:after="0"/>
            </w:pPr>
            <w:r/>
            <w:r>
              <w:rPr>
                <w:rFonts w:ascii="Carlito" w:hAnsi="Carlito" w:eastAsia="Carlito"/>
                <w:b w:val="0"/>
                <w:color w:val="243447"/>
                <w:sz w:val="16"/>
              </w:rPr>
              <w:t>Auditeur/autorité</w:t>
            </w:r>
          </w:p>
        </w:tc>
        <w:tc>
          <w:tcPr>
            <w:tcW w:type="dxa" w:w="3685"/>
            <w:vAlign w:val="center"/>
            <w:tcMar>
              <w:top w:w="80" w:type="dxa"/>
              <w:start w:w="90" w:type="dxa"/>
              <w:bottom w:w="80" w:type="dxa"/>
              <w:end w:w="90" w:type="dxa"/>
            </w:tcMar>
          </w:tcPr>
          <w:p>
            <w:pPr>
              <w:spacing w:after="0"/>
            </w:pPr>
            <w:r/>
            <w:r>
              <w:rPr>
                <w:rFonts w:ascii="Carlito" w:hAnsi="Carlito" w:eastAsia="Carlito"/>
                <w:b w:val="0"/>
                <w:color w:val="243447"/>
                <w:sz w:val="16"/>
              </w:rPr>
              <w:t>Contrôle et justification</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Accès en lecture, traçabilité, exports</w:t>
            </w:r>
          </w:p>
        </w:tc>
      </w:tr>
    </w:tbl>
    <w:p>
      <w:pPr>
        <w:spacing w:after="40"/>
      </w:pPr>
    </w:p>
    <w:p>
      <w:pPr>
        <w:pStyle w:val="Heading1"/>
      </w:pPr>
      <w:r>
        <w:t>2. Cycle de vie d’un projet dans la plateforme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474"/>
            <w:vAlign w:val="center"/>
            <w:tcMar>
              <w:top w:w="80" w:type="dxa"/>
              <w:start w:w="90" w:type="dxa"/>
              <w:bottom w:w="80" w:type="dxa"/>
              <w:end w:w="90" w:type="dxa"/>
            </w:tcMar>
            <w:shd w:fill="17365D"/>
          </w:tcPr>
          <w:p>
            <w:pPr>
              <w:spacing w:after="0"/>
            </w:pPr>
            <w:r/>
            <w:r>
              <w:rPr>
                <w:rFonts w:ascii="Carlito" w:hAnsi="Carlito" w:eastAsia="Carlito"/>
                <w:b/>
                <w:color w:val="FFFFFF"/>
                <w:sz w:val="15"/>
              </w:rPr>
              <w:t>Étape</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Entrées</w:t>
            </w:r>
          </w:p>
        </w:tc>
        <w:tc>
          <w:tcPr>
            <w:tcW w:type="dxa" w:w="3005"/>
            <w:vAlign w:val="center"/>
            <w:tcMar>
              <w:top w:w="80" w:type="dxa"/>
              <w:start w:w="90" w:type="dxa"/>
              <w:bottom w:w="80" w:type="dxa"/>
              <w:end w:w="90" w:type="dxa"/>
            </w:tcMar>
            <w:shd w:fill="17365D"/>
          </w:tcPr>
          <w:p>
            <w:pPr>
              <w:spacing w:after="0"/>
            </w:pPr>
            <w:r/>
            <w:r>
              <w:rPr>
                <w:rFonts w:ascii="Carlito" w:hAnsi="Carlito" w:eastAsia="Carlito"/>
                <w:b/>
                <w:color w:val="FFFFFF"/>
                <w:sz w:val="15"/>
              </w:rPr>
              <w:t>Activités</w:t>
            </w:r>
          </w:p>
        </w:tc>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5"/>
              </w:rPr>
              <w:t>Sorties</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5"/>
              </w:rPr>
              <w:t>1. Cadrage</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Objectifs, site, produit, référentiel</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Définir périmètre et hypothèses</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5"/>
              </w:rPr>
              <w:t>Fiche projet</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5"/>
              </w:rPr>
              <w:t>2. Collecte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Plans, profils, fiches équipements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Importer, nettoyer, qualifier</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5"/>
              </w:rPr>
              <w:t>Jeu de données versionné</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5"/>
              </w:rPr>
              <w:t>3. Modélisation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Réseau et équipements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Construire topologie et paramètres</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Modèle calculable</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5"/>
              </w:rPr>
              <w:t>4. Validation des données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Unités, plages, cohérence</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Contrôles automatiques et métier</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5"/>
              </w:rPr>
              <w:t>Rapport de qualité</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5"/>
              </w:rPr>
              <w:t>5. Calcul de base</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Conditions aux limites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Résoudre le régime de référence</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Résultats et diagnostics</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5"/>
              </w:rPr>
              <w:t>6. Scénarios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Indisponibilités, objectifs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Cloner et modifier le modèle</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5"/>
              </w:rPr>
              <w:t>Comparatif de scénarios</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5"/>
              </w:rPr>
              <w:t>7. Optimisation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Coûts et contraintes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Rechercher configuration admissible</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Recommandation</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5"/>
              </w:rPr>
              <w:t>8. Revue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Résultats, normes, avertissements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Validation humaine</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5"/>
              </w:rPr>
              <w:t>Scénario approuvé</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5"/>
              </w:rPr>
              <w:t>9. Rapport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Modèle et décisions</w:t>
            </w:r>
          </w:p>
        </w:tc>
        <w:tc>
          <w:tcPr>
            <w:tcW w:type="dxa" w:w="300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Générer et signer</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Note de calcul/rapport</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5"/>
              </w:rPr>
              <w:t>10. Capitalisation</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Mesures réelles</w:t>
            </w:r>
          </w:p>
        </w:tc>
        <w:tc>
          <w:tcPr>
            <w:tcW w:type="dxa" w:w="3005"/>
            <w:vAlign w:val="center"/>
            <w:tcMar>
              <w:top w:w="80" w:type="dxa"/>
              <w:start w:w="90" w:type="dxa"/>
              <w:bottom w:w="80" w:type="dxa"/>
              <w:end w:w="90" w:type="dxa"/>
            </w:tcMar>
          </w:tcPr>
          <w:p>
            <w:pPr>
              <w:spacing w:after="0"/>
            </w:pPr>
            <w:r/>
            <w:r>
              <w:rPr>
                <w:rFonts w:ascii="Carlito" w:hAnsi="Carlito" w:eastAsia="Carlito"/>
                <w:b w:val="0"/>
                <w:color w:val="243447"/>
                <w:sz w:val="15"/>
              </w:rPr>
              <w:t>Comparer et réviser</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5"/>
              </w:rPr>
              <w:t>Nouveau modèle calibré</w:t>
            </w:r>
          </w:p>
        </w:tc>
      </w:tr>
    </w:tbl>
    <w:p>
      <w:pPr>
        <w:spacing w:after="40"/>
      </w:pPr>
    </w:p>
    <w:p>
      <w:pPr>
        <w:pStyle w:val="Heading1"/>
      </w:pPr>
      <w:r>
        <w:t>3. Processus métier : pipeline liquide</w:t>
      </w:r>
    </w:p>
    <w:p>
      <w:pPr>
        <w:pStyle w:val="ListNumber"/>
      </w:pPr>
      <w:r>
        <w:t>Définir le tracé, les altitudes, diamètres, rugosités, matériaux et limites de pression.</w:t>
      </w:r>
    </w:p>
    <w:p>
      <w:pPr>
        <w:pStyle w:val="ListNumber"/>
      </w:pPr>
      <w:r>
        <w:t>Définir les produits, températures, densités, viscosités, pression de vapeur et règles de propriétés.</w:t>
      </w:r>
    </w:p>
    <w:p>
      <w:pPr>
        <w:pStyle w:val="ListNumber"/>
      </w:pPr>
      <w:r>
        <w:t>Configurer les stations, pompes, montages série/parallèle, variateurs, bypass et équipements de secours.</w:t>
      </w:r>
    </w:p>
    <w:p>
      <w:pPr>
        <w:pStyle w:val="ListNumber"/>
      </w:pPr>
      <w:r>
        <w:t>Définir les conditions aux limites : pression, débit, niveau de bac ou demande terminale.</w:t>
      </w:r>
    </w:p>
    <w:p>
      <w:pPr>
        <w:pStyle w:val="ListNumber"/>
      </w:pPr>
      <w:r>
        <w:t>Calculer le point de fonctionnement, les pressions, vitesses, pertes et marges de cavitation.</w:t>
      </w:r>
    </w:p>
    <w:p>
      <w:pPr>
        <w:pStyle w:val="ListNumber"/>
      </w:pPr>
      <w:r>
        <w:t>Identifier les surpressions, sous-pressions, écoulements gravitaires, non-convergences et équipements hors enveloppe.</w:t>
      </w:r>
    </w:p>
    <w:p>
      <w:pPr>
        <w:pStyle w:val="ListNumber"/>
      </w:pPr>
      <w:r>
        <w:t>Comparer les configurations et valider un mode avec commentaires et approbation.</w:t>
      </w:r>
    </w:p>
    <w:p>
      <w:pPr>
        <w:pStyle w:val="Heading1"/>
      </w:pPr>
      <w:r>
        <w:t>4. Processus métier : dépôt, stockage et transferts</w:t>
      </w:r>
    </w:p>
    <w:p>
      <w:pPr>
        <w:pStyle w:val="ListNumber"/>
      </w:pPr>
      <w:r>
        <w:t>Créer les réservoirs et importer leurs tables de barémage.</w:t>
      </w:r>
    </w:p>
    <w:p>
      <w:pPr>
        <w:pStyle w:val="ListNumber"/>
      </w:pPr>
      <w:r>
        <w:t>Définir les niveaux bas, haut, haut-haut, capacité utile et contraintes de produit.</w:t>
      </w:r>
    </w:p>
    <w:p>
      <w:pPr>
        <w:pStyle w:val="ListNumber"/>
      </w:pPr>
      <w:r>
        <w:t>Construire le réseau de collecteurs, pompes, filtres, vannes, compteurs et points de réception/expédition.</w:t>
      </w:r>
    </w:p>
    <w:p>
      <w:pPr>
        <w:pStyle w:val="ListNumber"/>
      </w:pPr>
      <w:r>
        <w:t>Choisir un bac source, un bac destinataire, un chemin hydraulique et une pompe.</w:t>
      </w:r>
    </w:p>
    <w:p>
      <w:pPr>
        <w:pStyle w:val="ListNumber"/>
      </w:pPr>
      <w:r>
        <w:t>Calculer débit, pressions, NPSH, évolution des niveaux, durée, énergie et risques de débordement.</w:t>
      </w:r>
    </w:p>
    <w:p>
      <w:pPr>
        <w:pStyle w:val="ListNumber"/>
      </w:pPr>
      <w:r>
        <w:t>Établir le bilan matière et comparer jaugeage, débitmètre et quantité calculée.</w:t>
      </w:r>
    </w:p>
    <w:p>
      <w:pPr>
        <w:pStyle w:val="ListNumber"/>
      </w:pPr>
      <w:r>
        <w:t>Produire un ordre de mouvement et un rapport de fin de transfert.</w:t>
      </w:r>
    </w:p>
    <w:p>
      <w:pPr>
        <w:pStyle w:val="Heading1"/>
      </w:pPr>
      <w:r>
        <w:t>5. Processus métier : données et calibration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Processus</w:t>
            </w:r>
          </w:p>
        </w:tc>
        <w:tc>
          <w:tcPr>
            <w:tcW w:type="dxa" w:w="5102"/>
            <w:vAlign w:val="center"/>
            <w:tcMar>
              <w:top w:w="80" w:type="dxa"/>
              <w:start w:w="90" w:type="dxa"/>
              <w:bottom w:w="80" w:type="dxa"/>
              <w:end w:w="90" w:type="dxa"/>
            </w:tcMar>
            <w:shd w:fill="17365D"/>
          </w:tcPr>
          <w:p>
            <w:pPr>
              <w:spacing w:after="0"/>
            </w:pPr>
            <w:r/>
            <w:r>
              <w:rPr>
                <w:rFonts w:ascii="Carlito" w:hAnsi="Carlito" w:eastAsia="Carlito"/>
                <w:b/>
                <w:color w:val="FFFFFF"/>
                <w:sz w:val="16"/>
              </w:rPr>
              <w:t>Règles essentielles</w:t>
            </w:r>
          </w:p>
        </w:tc>
        <w:tc>
          <w:tcPr>
            <w:tcW w:type="dxa" w:w="2608"/>
            <w:vAlign w:val="center"/>
            <w:tcMar>
              <w:top w:w="80" w:type="dxa"/>
              <w:start w:w="90" w:type="dxa"/>
              <w:bottom w:w="80" w:type="dxa"/>
              <w:end w:w="90" w:type="dxa"/>
            </w:tcMar>
            <w:shd w:fill="17365D"/>
          </w:tcPr>
          <w:p>
            <w:pPr>
              <w:spacing w:after="0"/>
            </w:pPr>
            <w:r/>
            <w:r>
              <w:rPr>
                <w:rFonts w:ascii="Carlito" w:hAnsi="Carlito" w:eastAsia="Carlito"/>
                <w:b/>
                <w:color w:val="FFFFFF"/>
                <w:sz w:val="16"/>
              </w:rPr>
              <w:t>Sortie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Ingestion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Conserver source, horodatage, unité et qualité</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brutes immuables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Normalisation</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Convertir vers SI sans supprimer la valeur d’origine</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Données harmonisées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Plages, doublons, trous, dérives, cohérence de masse</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Score de qualité</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Réconciliation</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Ajuster dans les incertitudes sous contraintes physiques</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Valeurs réconciliées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Calibration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Estimer rugosité, coefficients ou biais documentés</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Paramètres calibrés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Comparaison</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Mesuré contre simulé</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Résidus et indicateurs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Publication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Approuver une version de modèle</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Baseline exploitable</w:t>
            </w:r>
          </w:p>
        </w:tc>
      </w:tr>
    </w:tbl>
    <w:p>
      <w:pPr>
        <w:spacing w:after="40"/>
      </w:pPr>
    </w:p>
    <w:p>
      <w:pPr>
        <w:pStyle w:val="Heading1"/>
      </w:pPr>
      <w:r>
        <w:t>6. Processus métier : incident et mode de secours</w:t>
      </w:r>
    </w:p>
    <w:p>
      <w:pPr>
        <w:pStyle w:val="ListNumber"/>
      </w:pPr>
      <w:r>
        <w:t>Déclarer l’équipement indisponible ou l’événement hypothétique.</w:t>
      </w:r>
    </w:p>
    <w:p>
      <w:pPr>
        <w:pStyle w:val="ListNumber"/>
      </w:pPr>
      <w:r>
        <w:t>Créer un scénario dérivé sans altérer le modèle de référence.</w:t>
      </w:r>
    </w:p>
    <w:p>
      <w:pPr>
        <w:pStyle w:val="ListNumber"/>
      </w:pPr>
      <w:r>
        <w:t>Recalculer la faisabilité, les pressions extrêmes, les temps avant limite et la capacité de secours.</w:t>
      </w:r>
    </w:p>
    <w:p>
      <w:pPr>
        <w:pStyle w:val="ListNumber"/>
      </w:pPr>
      <w:r>
        <w:t>Proposer plusieurs stratégies de récupération classées par sécurité, délai et coût.</w:t>
      </w:r>
    </w:p>
    <w:p>
      <w:pPr>
        <w:pStyle w:val="ListNumber"/>
      </w:pPr>
      <w:r>
        <w:t>Soumettre la recommandation à une validation humaine.</w:t>
      </w:r>
    </w:p>
    <w:p>
      <w:pPr>
        <w:pStyle w:val="ListNumber"/>
      </w:pPr>
      <w:r>
        <w:t>Conserver l’événement, la décision et le résultat réel pour retour d’expérience.</w:t>
      </w:r>
    </w:p>
    <w:p>
      <w:pPr>
        <w:pStyle w:val="Heading1"/>
      </w:pPr>
      <w:r>
        <w:t>7. Matrice RACI simplifiée</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5"/>
              </w:rPr>
              <w:t>Activité</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5"/>
              </w:rPr>
              <w:t>Dev/administrateur</w:t>
            </w:r>
          </w:p>
        </w:tc>
        <w:tc>
          <w:tcPr>
            <w:tcW w:type="dxa" w:w="1531"/>
            <w:vAlign w:val="center"/>
            <w:tcMar>
              <w:top w:w="80" w:type="dxa"/>
              <w:start w:w="90" w:type="dxa"/>
              <w:bottom w:w="80" w:type="dxa"/>
              <w:end w:w="90" w:type="dxa"/>
            </w:tcMar>
            <w:shd w:fill="17365D"/>
          </w:tcPr>
          <w:p>
            <w:pPr>
              <w:spacing w:after="0"/>
            </w:pPr>
            <w:r/>
            <w:r>
              <w:rPr>
                <w:rFonts w:ascii="Carlito" w:hAnsi="Carlito" w:eastAsia="Carlito"/>
                <w:b/>
                <w:color w:val="FFFFFF"/>
                <w:sz w:val="15"/>
              </w:rPr>
              <w:t>Ingénieur calcul</w:t>
            </w:r>
          </w:p>
        </w:tc>
        <w:tc>
          <w:tcPr>
            <w:tcW w:type="dxa" w:w="1361"/>
            <w:vAlign w:val="center"/>
            <w:tcMar>
              <w:top w:w="80" w:type="dxa"/>
              <w:start w:w="90" w:type="dxa"/>
              <w:bottom w:w="80" w:type="dxa"/>
              <w:end w:w="90" w:type="dxa"/>
            </w:tcMar>
            <w:shd w:fill="17365D"/>
          </w:tcPr>
          <w:p>
            <w:pPr>
              <w:spacing w:after="0"/>
            </w:pPr>
            <w:r/>
            <w:r>
              <w:rPr>
                <w:rFonts w:ascii="Carlito" w:hAnsi="Carlito" w:eastAsia="Carlito"/>
                <w:b/>
                <w:color w:val="FFFFFF"/>
                <w:sz w:val="15"/>
              </w:rPr>
              <w:t>Exploitant</w:t>
            </w:r>
          </w:p>
        </w:tc>
        <w:tc>
          <w:tcPr>
            <w:tcW w:type="dxa" w:w="1020"/>
            <w:vAlign w:val="center"/>
            <w:tcMar>
              <w:top w:w="80" w:type="dxa"/>
              <w:start w:w="90" w:type="dxa"/>
              <w:bottom w:w="80" w:type="dxa"/>
              <w:end w:w="90" w:type="dxa"/>
            </w:tcMar>
            <w:shd w:fill="17365D"/>
          </w:tcPr>
          <w:p>
            <w:pPr>
              <w:spacing w:after="0"/>
            </w:pPr>
            <w:r/>
            <w:r>
              <w:rPr>
                <w:rFonts w:ascii="Carlito" w:hAnsi="Carlito" w:eastAsia="Carlito"/>
                <w:b/>
                <w:color w:val="FFFFFF"/>
                <w:sz w:val="15"/>
              </w:rPr>
              <w:t>HSE</w:t>
            </w:r>
          </w:p>
        </w:tc>
        <w:tc>
          <w:tcPr>
            <w:tcW w:type="dxa" w:w="1020"/>
            <w:vAlign w:val="center"/>
            <w:tcMar>
              <w:top w:w="80" w:type="dxa"/>
              <w:start w:w="90" w:type="dxa"/>
              <w:bottom w:w="80" w:type="dxa"/>
              <w:end w:w="90" w:type="dxa"/>
            </w:tcMar>
            <w:shd w:fill="17365D"/>
          </w:tcPr>
          <w:p>
            <w:pPr>
              <w:spacing w:after="0"/>
            </w:pPr>
            <w:r/>
            <w:r>
              <w:rPr>
                <w:rFonts w:ascii="Carlito" w:hAnsi="Carlito" w:eastAsia="Carlito"/>
                <w:b/>
                <w:color w:val="FFFFFF"/>
                <w:sz w:val="15"/>
              </w:rPr>
              <w:t>Responsable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référentiel équipement</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Construire modèle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R</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Valider données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Lancer scénario</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I</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R</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R</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Approuver résultat</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Définir limites sécurité</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I</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R</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Administrer utilisateurs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Modifier méthode scientifique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5"/>
              </w:rPr>
              <w:t>R</w:t>
            </w:r>
          </w:p>
        </w:tc>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361"/>
            <w:vAlign w:val="center"/>
            <w:tcMar>
              <w:top w:w="80" w:type="dxa"/>
              <w:start w:w="90" w:type="dxa"/>
              <w:bottom w:w="80" w:type="dxa"/>
              <w:end w:w="90" w:type="dxa"/>
            </w:tcMar>
          </w:tcPr>
          <w:p>
            <w:pPr>
              <w:spacing w:after="0"/>
            </w:pPr>
            <w:r/>
            <w:r>
              <w:rPr>
                <w:rFonts w:ascii="Carlito" w:hAnsi="Carlito" w:eastAsia="Carlito"/>
                <w:b w:val="0"/>
                <w:color w:val="243447"/>
                <w:sz w:val="15"/>
              </w:rPr>
              <w:t>I</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tcPr>
          <w:p>
            <w:pPr>
              <w:spacing w:after="0"/>
            </w:pPr>
            <w:r/>
            <w:r>
              <w:rPr>
                <w:rFonts w:ascii="Carlito" w:hAnsi="Carlito" w:eastAsia="Carlito"/>
                <w:b w:val="0"/>
                <w:color w:val="243447"/>
                <w:sz w:val="15"/>
              </w:rPr>
              <w:t>A</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Autoriser connexion SCADA</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5"/>
              </w:rPr>
              <w:t>R</w:t>
            </w:r>
          </w:p>
        </w:tc>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5"/>
              </w:rPr>
              <w:t>I</w:t>
            </w:r>
          </w:p>
        </w:tc>
        <w:tc>
          <w:tcPr>
            <w:tcW w:type="dxa" w:w="1361"/>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C</w:t>
            </w:r>
          </w:p>
        </w:tc>
        <w:tc>
          <w:tcPr>
            <w:tcW w:type="dxa" w:w="1020"/>
            <w:vAlign w:val="center"/>
            <w:tcMar>
              <w:top w:w="80" w:type="dxa"/>
              <w:start w:w="90" w:type="dxa"/>
              <w:bottom w:w="80" w:type="dxa"/>
              <w:end w:w="90" w:type="dxa"/>
            </w:tcMar>
            <w:shd w:fill="F2F2F2"/>
          </w:tcPr>
          <w:p>
            <w:pPr>
              <w:spacing w:after="0"/>
            </w:pPr>
            <w:r/>
            <w:r>
              <w:rPr>
                <w:rFonts w:ascii="Carlito" w:hAnsi="Carlito" w:eastAsia="Carlito"/>
                <w:b w:val="0"/>
                <w:color w:val="243447"/>
                <w:sz w:val="15"/>
              </w:rPr>
              <w:t>A</w:t>
            </w:r>
          </w:p>
        </w:tc>
      </w:tr>
    </w:tbl>
    <w:p>
      <w:pPr>
        <w:spacing w:after="40"/>
      </w:pPr>
    </w:p>
    <w:p>
      <w:pPr>
        <w:pStyle w:val="Heading1"/>
      </w:pPr>
      <w:r>
        <w:t>8. Documents métier produits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Document</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Contenu</w:t>
            </w:r>
          </w:p>
        </w:tc>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6"/>
              </w:rPr>
              <w:t>Responsable de validation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Fiche projet</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Objectifs, périmètre, référentiels, unités</w:t>
            </w:r>
          </w:p>
        </w:tc>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Chef de projet</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Dossier de données</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Sources, qualité, versions, hypothèses</w:t>
            </w:r>
          </w:p>
        </w:tc>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Ingénieur calcul</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Note de calcul</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Équations, entrées, résultats, vérifications</w:t>
            </w:r>
          </w:p>
        </w:tc>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 habilité</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Rapport de scénario</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Écarts, contraintes et recommandation</w:t>
            </w:r>
          </w:p>
        </w:tc>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Exploitation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Ordre de transfert</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Source, destination, chemin, volumes et limites</w:t>
            </w:r>
          </w:p>
        </w:tc>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Responsable dépôt</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Rapport de bilan matière</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Entrées, sorties, stock, écart, incertitude</w:t>
            </w:r>
          </w:p>
        </w:tc>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Comptage/Exploitation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Rapport incident</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Chronologie, simulations, décision, retour</w:t>
            </w:r>
          </w:p>
        </w:tc>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HSE/Direction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Rapport de validation</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Cas tests, écarts, couverture, anomalies</w:t>
            </w:r>
          </w:p>
        </w:tc>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Responsable technique</w:t>
            </w:r>
          </w:p>
        </w:tc>
      </w:tr>
    </w:tbl>
    <w:p>
      <w:pPr>
        <w:spacing w:after="40"/>
      </w:pPr>
    </w:p>
    <w:p>
      <w:pPr>
        <w:pStyle w:val="Heading1"/>
      </w:pPr>
      <w:r>
        <w:t>9. Points de contrôle obligatoires</w:t>
      </w:r>
    </w:p>
    <w:tbl>
      <w:tblPr>
        <w:tblW w:type="auto" w:w="0"/>
        <w:jc w:val="center"/>
        <w:tblLook w:firstColumn="1" w:firstRow="1" w:lastColumn="0" w:lastRow="0" w:noHBand="0" w:noVBand="1" w:val="04A0"/>
      </w:tblPr>
      <w:tblGrid>
        <w:gridCol w:w="9979"/>
      </w:tblGrid>
      <w:tr>
        <w:tc>
          <w:tcPr>
            <w:tcW w:type="dxa" w:w="9979"/>
            <w:shd w:fill="FFF2CC"/>
            <w:tcMar>
              <w:top w:w="130" w:type="dxa"/>
              <w:start w:w="140" w:type="dxa"/>
              <w:bottom w:w="130" w:type="dxa"/>
              <w:end w:w="140" w:type="dxa"/>
            </w:tcMar>
          </w:tcPr>
          <w:p>
            <w:r/>
            <w:r>
              <w:rPr>
                <w:rFonts w:ascii="Liberation Sans" w:hAnsi="Liberation Sans"/>
                <w:b/>
                <w:color w:val="17365D"/>
                <w:sz w:val="21"/>
              </w:rPr>
              <w:t>Gates de validation</w:t>
            </w:r>
          </w:p>
          <w:p>
            <w:pPr>
              <w:spacing w:after="0"/>
            </w:pPr>
            <w:r>
              <w:rPr>
                <w:rFonts w:ascii="Carlito" w:hAnsi="Carlito"/>
                <w:color w:val="243447"/>
                <w:sz w:val="19"/>
              </w:rPr>
              <w:t>Aucun scénario ne peut être présenté comme approuvé sans données valides, convergence du solveur, contrôle des limites, identification de la méthode et validation humaine.</w:t>
            </w:r>
          </w:p>
        </w:tc>
      </w:tr>
    </w:tbl>
    <w:p>
      <w:pPr>
        <w:spacing w:after="20"/>
      </w:pPr>
    </w:p>
    <w:p>
      <w:pPr>
        <w:pStyle w:val="ListBullet"/>
      </w:pPr>
      <w:r>
        <w:t>Validation du système d’unités et des conversions.</w:t>
      </w:r>
    </w:p>
    <w:p>
      <w:pPr>
        <w:pStyle w:val="ListBullet"/>
      </w:pPr>
      <w:r>
        <w:t>Contrôle de conservation de masse et cohérence énergétique.</w:t>
      </w:r>
    </w:p>
    <w:p>
      <w:pPr>
        <w:pStyle w:val="ListBullet"/>
      </w:pPr>
      <w:r>
        <w:t>Vérification des enveloppes de pompes ou compresseurs.</w:t>
      </w:r>
    </w:p>
    <w:p>
      <w:pPr>
        <w:pStyle w:val="ListBullet"/>
      </w:pPr>
      <w:r>
        <w:t>Vérification des limites de pression, niveau, température et cavitation.</w:t>
      </w:r>
    </w:p>
    <w:p>
      <w:pPr>
        <w:pStyle w:val="ListBullet"/>
      </w:pPr>
      <w:r>
        <w:t>Journalisation de toute modification de modèle ou de règle.</w:t>
      </w:r>
    </w:p>
    <w:p>
      <w:pPr>
        <w:pStyle w:val="ListBullet"/>
      </w:pPr>
      <w:r>
        <w:t>Séparation des données brutes, corrigées et réconciliées.</w:t>
      </w:r>
    </w:p>
    <w:p>
      <w:pPr>
        <w:pStyle w:val="ListBullet"/>
      </w:pPr>
      <w:r>
        <w:t xml:space="preserve">Confirmation explicite avant export d’un rapport marqué « approuvé ». </w:t>
      </w:r>
    </w:p>
    <w:p>
      <w:pPr>
        <w:pStyle w:val="Heading1"/>
      </w:pPr>
      <w:r>
        <w:t>Sources et références</w:t>
      </w:r>
    </w:p>
    <w:p>
      <w:pPr>
        <w:pStyle w:val="ListBullet"/>
      </w:pPr>
      <w:r>
        <w:t>Manuels fournis sur les dépôts, réservoirs, équipements, transferts et systèmes gaziers.</w:t>
      </w:r>
    </w:p>
    <w:p>
      <w:pPr>
        <w:pStyle w:val="ListBullet"/>
      </w:pPr>
      <w:r>
        <w:t>Support de modélisation de pipeline et programme Python pour les processus de calcul stationnaire.</w:t>
      </w:r>
    </w:p>
    <w:p>
      <w:pPr>
        <w:pStyle w:val="ListBullet"/>
      </w:pPr>
      <w:r>
        <w:t>Pratiques de gestion des scénarios, de validation et de sécurité définies par le projet.</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D03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Cartographie des acteurs et processus métier</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