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D04</w:t>
      </w:r>
    </w:p>
    <w:p>
      <w:pPr>
        <w:spacing w:before="160"/>
        <w:jc w:val="center"/>
      </w:pPr>
      <w:r>
        <w:rPr>
          <w:rFonts w:ascii="Liberation Sans" w:hAnsi="Liberation Sans"/>
          <w:b/>
          <w:color w:val="17365D"/>
          <w:sz w:val="52"/>
        </w:rPr>
        <w:t>Cahier des charges fonctionnel complet</w:t>
      </w:r>
    </w:p>
    <w:p>
      <w:pPr>
        <w:spacing w:before="200"/>
        <w:jc w:val="center"/>
      </w:pPr>
      <w:r>
        <w:rPr>
          <w:rFonts w:ascii="Carlito" w:hAnsi="Carlito"/>
          <w:i/>
          <w:color w:val="243447"/>
          <w:sz w:val="25"/>
        </w:rPr>
        <w:t>Exigences fonctionnelles de la plateforme, du MVP à la cible</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D04</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Objet et périmètre</w:t>
      </w:r>
    </w:p>
    <w:p>
      <w:pPr>
        <w:pStyle w:val="ListNumber"/>
      </w:pPr>
      <w:r>
        <w:t>Principes fonctionnels</w:t>
      </w:r>
    </w:p>
    <w:p>
      <w:pPr>
        <w:pStyle w:val="ListNumber"/>
      </w:pPr>
      <w:r>
        <w:t>Gestion des projets</w:t>
      </w:r>
    </w:p>
    <w:p>
      <w:pPr>
        <w:pStyle w:val="ListNumber"/>
      </w:pPr>
      <w:r>
        <w:t>Modélisation</w:t>
      </w:r>
    </w:p>
    <w:p>
      <w:pPr>
        <w:pStyle w:val="ListNumber"/>
      </w:pPr>
      <w:r>
        <w:t>Calcul liquide</w:t>
      </w:r>
    </w:p>
    <w:p>
      <w:pPr>
        <w:pStyle w:val="ListNumber"/>
      </w:pPr>
      <w:r>
        <w:t>Pompes</w:t>
      </w:r>
    </w:p>
    <w:p>
      <w:pPr>
        <w:pStyle w:val="ListNumber"/>
      </w:pPr>
      <w:r>
        <w:t>Réservoirs et transferts</w:t>
      </w:r>
    </w:p>
    <w:p>
      <w:pPr>
        <w:pStyle w:val="ListNumber"/>
      </w:pPr>
      <w:r>
        <w:t>Scénarios</w:t>
      </w:r>
    </w:p>
    <w:p>
      <w:pPr>
        <w:pStyle w:val="ListNumber"/>
      </w:pPr>
      <w:r>
        <w:t>Données</w:t>
      </w:r>
    </w:p>
    <w:p>
      <w:pPr>
        <w:pStyle w:val="ListNumber"/>
      </w:pPr>
      <w:r>
        <w:t>Rapports</w:t>
      </w:r>
    </w:p>
    <w:p>
      <w:pPr>
        <w:pStyle w:val="ListNumber"/>
      </w:pPr>
      <w:r>
        <w:t>Administration</w:t>
      </w:r>
    </w:p>
    <w:p>
      <w:pPr>
        <w:pStyle w:val="ListNumber"/>
      </w:pPr>
      <w:r>
        <w:t>Fonctions futures</w:t>
      </w:r>
    </w:p>
    <w:p>
      <w:pPr>
        <w:pStyle w:val="ListNumber"/>
      </w:pPr>
      <w:r>
        <w:t>Critères de recette</w:t>
      </w:r>
    </w:p>
    <w:p>
      <w:r>
        <w:rPr>
          <w:i/>
          <w:color w:val="6B7785"/>
          <w:sz w:val="17"/>
        </w:rPr>
        <w:t>La pagination peut évoluer après validation et mise en forme finale dans Microsoft Word ou LibreOffice.</w:t>
      </w:r>
    </w:p>
    <w:p>
      <w:r>
        <w:br w:type="page"/>
      </w:r>
    </w:p>
    <w:p>
      <w:pPr>
        <w:pStyle w:val="Heading1"/>
      </w:pPr>
      <w:r>
        <w:t>1. Objet et périmètre</w:t>
      </w:r>
    </w:p>
    <w:p>
      <w:r>
        <w:rPr>
          <w:i w:val="0"/>
        </w:rPr>
        <w:t>Le présent cahier des charges définit les fonctions attendues de la plateforme. Les exigences sont identifiées, priorisées et assorties d’un critère d’acceptation. Les priorités sont : MUST pour le MVP, SHOULD pour une version proche, LATER pour la feuille de route.</w:t>
      </w:r>
    </w:p>
    <w:tbl>
      <w:tblPr>
        <w:tblW w:type="auto" w:w="0"/>
        <w:jc w:val="center"/>
        <w:tblLook w:firstColumn="1" w:firstRow="1" w:lastColumn="0" w:lastRow="0" w:noHBand="0" w:noVBand="1" w:val="04A0"/>
      </w:tblPr>
      <w:tblGrid>
        <w:gridCol w:w="9979"/>
      </w:tblGrid>
      <w:tr>
        <w:tc>
          <w:tcPr>
            <w:tcW w:type="dxa" w:w="9979"/>
            <w:shd w:fill="E2F0D9"/>
            <w:tcMar>
              <w:top w:w="130" w:type="dxa"/>
              <w:start w:w="140" w:type="dxa"/>
              <w:bottom w:w="130" w:type="dxa"/>
              <w:end w:w="140" w:type="dxa"/>
            </w:tcMar>
          </w:tcPr>
          <w:p>
            <w:r/>
            <w:r>
              <w:rPr>
                <w:rFonts w:ascii="Liberation Sans" w:hAnsi="Liberation Sans"/>
                <w:b/>
                <w:color w:val="17365D"/>
                <w:sz w:val="21"/>
              </w:rPr>
              <w:t>Périmètre MVP</w:t>
            </w:r>
          </w:p>
          <w:p>
            <w:pPr>
              <w:spacing w:after="0"/>
            </w:pPr>
            <w:r>
              <w:rPr>
                <w:rFonts w:ascii="Carlito" w:hAnsi="Carlito"/>
                <w:color w:val="243447"/>
                <w:sz w:val="19"/>
              </w:rPr>
              <w:t>Pipeline liquide en régime permanent, stations multiples, pompes principales et de secours, réservoirs, transfert bac-à-bac, scénarios, optimisation simple, import de données, graphiques et rapports.</w:t>
            </w:r>
          </w:p>
        </w:tc>
      </w:tr>
    </w:tbl>
    <w:p>
      <w:pPr>
        <w:spacing w:after="20"/>
      </w:pPr>
    </w:p>
    <w:p>
      <w:pPr>
        <w:pStyle w:val="Heading1"/>
      </w:pPr>
      <w:r>
        <w:t>2. Principes fonctionnels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FR-GEN-001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La plateforme doit être paramétrable et ne contenir aucun nombre fixe de tronçons, stations, pompes ou bacs.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et calculer deux projets de topologies différentes sans modifier le code.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FR-GEN-002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Chaque résultat doit être rattaché à une version de données, de modèle, de méthode et de scénario.</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Le rapport restitue les quatre identifiants.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FR-GEN-003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unités saisies doivent être converties vers un système interne SI tout en conservant la valeur d’origine.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Conversion vérifiée sur un jeu d’essai.</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FR-GEN-004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calculs normatifs doivent être séparés des équations physiques et sélectionnables par projet.</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Changer un jeu de règles sans modifier le solveur.</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FR-GEN-005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erreurs et non-convergences doivent être explicites et exploitables.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Aucun résultat silencieux ou valeur sentinelle non documentée.</w:t>
            </w:r>
          </w:p>
        </w:tc>
      </w:tr>
    </w:tbl>
    <w:p>
      <w:pPr>
        <w:spacing w:after="40"/>
      </w:pPr>
    </w:p>
    <w:p>
      <w:pPr>
        <w:pStyle w:val="Heading1"/>
      </w:pPr>
      <w:r>
        <w:t>3. Gestion des organisations, projets et versions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FR-PRJ-001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une organisation, un site et plusieurs projets.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données sont isolées par organisation.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FR-PRJ-002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Définir le type de projet, le pays, les normes, les unités et les responsables.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Fiche projet enregistrée et exportable.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FR-PRJ-003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Cloner un projet ou une version pour créer une variante.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Le clone conserve la filiation.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FR-PRJ-004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Geler une version approuvée en lecture seule.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Modification impossible hors nouveau clone.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FR-PRJ-005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Comparer les différences entre deux versions.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Liste des paramètres et équipements modifiés.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FR-PRJ-006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Archiver et restaurer un projet avec audit.</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Projet masqué puis restauré par un administrateur.</w:t>
            </w:r>
          </w:p>
        </w:tc>
      </w:tr>
    </w:tbl>
    <w:p>
      <w:pPr>
        <w:spacing w:after="40"/>
      </w:pPr>
    </w:p>
    <w:p>
      <w:pPr>
        <w:pStyle w:val="Heading1"/>
      </w:pPr>
      <w:r>
        <w:t>4. Modélisation du réseau et des équipements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FR-MOD-001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des nœuds et tronçons reliés en graphe.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Contrôle de connexité et orientation.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FR-MOD-002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Importer un profil altimétrique depuis CSV/Excel et l’interpoler.</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Aperçu, validation et rapport d’erreurs.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FR-MOD-003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Définir longueur, diamètre, épaisseur, rugosité, matériau, pression admissible et état par tronçon.</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Tous les champs obligatoires validés.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FR-MOD-004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Ajouter pompes, vannes, clapets, filtres, débitmètres, réservoirs, sources, puits et bypass.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Équipements visibles sur le schéma.</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FR-MOD-005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une bibliothèque d’équipements réutilisables.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Instanciation d’un modèle de pompe dans plusieurs stations.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FR-MOD-006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Importer/exporter la topologie au format JSON documenté.</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Round-trip sans perte.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FR-MOD-007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Visualiser le réseau en schéma et sur carte.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Sélection synchronisée carte/schéma.</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FR-MOD-008</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Détecter les nœuds isolés, doublons, sens incohérents et paramètres manquants.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Rapport de validation avant calcul.</w:t>
            </w:r>
          </w:p>
        </w:tc>
      </w:tr>
    </w:tbl>
    <w:p>
      <w:pPr>
        <w:spacing w:after="40"/>
      </w:pPr>
    </w:p>
    <w:p>
      <w:pPr>
        <w:pStyle w:val="Heading1"/>
      </w:pPr>
      <w:r>
        <w:t>5. Produits et propriétés physiques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FR-FLD-001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une fiche produit avec densité, viscosité, pression de vapeur et température.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Fiche validée avec unités et source.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FR-FLD-002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Définir des courbes ou corrélations de propriétés en fonction de la température et de la pression.</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Interpolation et domaine de validité visibles.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FR-FLD-003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Conserver les données de laboratoire avec date, méthode et incertitude.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Traçabilité complète d’un point de propriété.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FR-FLD-004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Signaler toute extrapolation hors domaine.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Avertissement dans résultat et rapport.</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FR-FLD-005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Permettre l’utilisation d’une bibliothèque interne ou de CoolProp lorsqu’applicable.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Source de propriété indiquée.</w:t>
            </w:r>
          </w:p>
        </w:tc>
      </w:tr>
    </w:tbl>
    <w:p>
      <w:pPr>
        <w:spacing w:after="40"/>
      </w:pPr>
    </w:p>
    <w:p>
      <w:pPr>
        <w:pStyle w:val="Heading1"/>
      </w:pPr>
      <w:r>
        <w:t>6. Moteur hydraulique liquide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FR-LIQ-001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Calculer vitesse, Reynolds, facteur de frottement et pertes par tronçon.</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Résultats disponibles par segment.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FR-LIQ-002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Résoudre un réseau stationnaire avec conditions de débit, pression ou niveau.</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Convergence démontrée sur cas de référence.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FR-LIQ-003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Calculer pression, charge totale et ligne hydraulique le long du profil.</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Graphique et export tabulaire.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FR-LIQ-004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Prendre en compte pertes singulières et équipements.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Somme détaillée par composant.</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FR-LIQ-005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Détecter pression inférieure à la vapeur, cavitation et zones gravitaires selon le modèle sélectionné.</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Localisation et avertissement.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FR-LIQ-006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Gérer les injections, soutirages et changements de diamètre.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Conservation de masse contrôlée.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FR-LIQ-007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Calculer la pression maximale et la comparer à la limite de projet.</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Marge affichée par tronçon.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FR-LIQ-008</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Fournir résidus, itérations, tolérances et diagnostic de convergence.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Journal de solveur accessible.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FR-LIQ-009</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Permettre plusieurs corrélations de frottement validées.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Méthode sélectionnée dans le scénario.</w:t>
            </w:r>
          </w:p>
        </w:tc>
      </w:tr>
    </w:tbl>
    <w:p>
      <w:pPr>
        <w:spacing w:after="40"/>
      </w:pPr>
    </w:p>
    <w:p>
      <w:pPr>
        <w:pStyle w:val="Heading1"/>
      </w:pPr>
      <w:r>
        <w:t>7. Stations et pompes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FR-PMP-001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Importer les courbes H(Q), rendement, puissance et NPSHr.</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Courbes contrôlées et tracées.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FR-PMP-002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Approximer les courbes selon une méthode documentée sans perdre les points d’origine.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Erreur d’ajustement calculée.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FR-PMP-003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Modéliser pompes en série, parallèle, vitesse fixe et variable.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Courbe combinée correcte sur cas test.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FR-PMP-004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Définir rôles principal, secours, maintenance et indisponible.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Scénario respecte l’état.</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FR-PMP-005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Calculer pression d’aspiration/refoulement, puissance, rendement et marge NPSH.</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Tableau station complet.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FR-PMP-006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Signaler fonctionnement hors plage, débit minimal ou puissance moteur.</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Violation bloquante ou avertissement paramétrable.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FR-PMP-007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Tester automatiquement les combinaisons admissibles.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Classement des configurations.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FR-PMP-008</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Évaluer la consommation et le coût selon un tarif horaire.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Coût du scénario calculé.</w:t>
            </w:r>
          </w:p>
        </w:tc>
      </w:tr>
    </w:tbl>
    <w:p>
      <w:pPr>
        <w:spacing w:after="40"/>
      </w:pPr>
    </w:p>
    <w:p>
      <w:pPr>
        <w:pStyle w:val="Heading1"/>
      </w:pPr>
      <w:r>
        <w:t>8. Réservoirs, stocks et transferts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FR-TNK-001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des réservoirs avec géométrie, produit, niveaux et capacité.</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Fiche bac complète.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FR-TNK-002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Importer une table de barémage hauteur-volume et vérifier sa monotonie.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Erreur signalée si incohérence.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FR-TNK-003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Calculer volume, masse, capacité disponible et niveaux projetés.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Valeurs à un instant donné.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FR-TNK-004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Simuler un transfert source-destination avec niveaux variables.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Courbes h(t), Q(t), P(t) et heure de fin.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FR-TNK-005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Vérifier niveau haut/haut-haut, débit maximal et compatibilité produit.</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Transfert impossible ou averti selon règle.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FR-TNK-006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Calculer le bilan matière et les écarts compteur/jaugeage.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Rapport avec incertitude disponible.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FR-TNK-007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Gérer plusieurs chemins hydrauliques et choisir un chemin.</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Chemin sélectionné et vannes listées.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FR-TNK-008</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Planifier plusieurs mouvements sans conflit de ressource.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LATER</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Planning sans double usage de pompe/ligne/bac.</w:t>
            </w:r>
          </w:p>
        </w:tc>
      </w:tr>
    </w:tbl>
    <w:p>
      <w:pPr>
        <w:spacing w:after="40"/>
      </w:pPr>
    </w:p>
    <w:p>
      <w:pPr>
        <w:pStyle w:val="Heading1"/>
      </w:pPr>
      <w:r>
        <w:t>9. Scénarios, pannes et optimisation</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FR-SCN-001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Créer un scénario depuis une baseline et modifier les états sans altérer la baseline.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Filiation visible.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FR-SCN-002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Bibliothèque de modes : normal, pompe arrêtée, secours, station bypassée, débit réduit.</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Scénarios instanciables.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FR-SCN-003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Comparer plusieurs scénarios sur débit, pressions, énergie, violations et coût.</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Tableau comparatif et classement.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FR-SCN-004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Rechercher automatiquement une configuration faisable.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Au moins une stratégie d’énumération contrôlée.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FR-SCN-005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Optimiser une fonction objectif avec contraintes paramétrables.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Résultat reproductible et solveur identifié.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FR-SCN-006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Expliquer pourquoi un scénario est non réalisable.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Liste de contraintes violées.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FR-SCN-007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Simuler les transitoires et coups de bélier.</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LATER</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Cas de validation MOC.</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FR-SCN-008</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Simuler gazoducs et compresseurs.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LATER</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Cas réseau gaz validé.</w:t>
            </w:r>
          </w:p>
        </w:tc>
      </w:tr>
    </w:tbl>
    <w:p>
      <w:pPr>
        <w:spacing w:after="40"/>
      </w:pPr>
    </w:p>
    <w:p>
      <w:pPr>
        <w:pStyle w:val="Heading1"/>
      </w:pPr>
      <w:r>
        <w:t>10. Données, analyses et tableaux de bord</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FR-DAT-001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Importer CSV et Excel avec mapping des colonnes et unités.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Aperçu et validation avant import.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FR-DAT-002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Conserver données brutes, normalisées et corrigées séparément.</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Lignage vérifiable.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FR-DAT-003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Gérer horodatage, unité, qualité et source de chaque mesure.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Schéma conforme D09.</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FR-DAT-004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Afficher séries temporelles, statistiques et détection de valeurs aberrantes.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Tableau de bord configurable.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FR-DAT-005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Comparer mesures et simulation et calculer résidus.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KPI RMSE, biais, bilan.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FR-DAT-006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Connecter un historian/SCADA en lecture seule.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LATER</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Connecteur certifié sur site pilote.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FR-DAT-007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Détecter et localiser une fuite avec méthodes hybrides.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LATER</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Performance validée selon D20.</w:t>
            </w:r>
          </w:p>
        </w:tc>
      </w:tr>
    </w:tbl>
    <w:p>
      <w:pPr>
        <w:spacing w:after="40"/>
      </w:pPr>
    </w:p>
    <w:p>
      <w:pPr>
        <w:pStyle w:val="Heading1"/>
      </w:pPr>
      <w:r>
        <w:t>11. Rapports et collaboration</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FR-RPT-001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Générer une note de calcul avec entrées, méthodes, résultats et avertissements.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Export Word/PDF conforme au modèle.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FR-RPT-002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Exporter résultats en CSV/Excel et graphiques en image.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Export réutilisable.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FR-RPT-003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Ajouter commentaires, statut et approbation.</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Workflow brouillon/revu/approuvé.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FR-RPT-004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Inclure la liste des normes et versions sélectionnées.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Références affichées.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FR-RPT-005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Générer rapport de transfert, scénario, bilan matière et validation.</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Quatre modèles disponibles.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FR-RPT-006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Personnaliser logo, entête et langue.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Modèle par organisation.</w:t>
            </w:r>
          </w:p>
        </w:tc>
      </w:tr>
    </w:tbl>
    <w:p>
      <w:pPr>
        <w:spacing w:after="40"/>
      </w:pPr>
    </w:p>
    <w:p>
      <w:pPr>
        <w:pStyle w:val="Heading1"/>
      </w:pPr>
      <w:r>
        <w:t>12. Administration et sécurité fonctionnelle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FR-ADM-001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Gérer utilisateurs, rôles et permissions par organisation/projet.</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Tests RBAC réussis.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FR-ADM-002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Journaliser connexions, changements, calculs, exports et approbations.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Audit filtrable.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FR-ADM-003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Sauvegarder et restaurer la base et les fichiers.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 de restauration réussi.</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FR-ADM-004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Paramétrer les limites et règles sans accès direct au code.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Édition contrôlée et versionnée.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FR-ADM-005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Séparer environnement de calcul, production et intégration industrielle.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Déploiements distincts.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FR-ADM-006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Interdire toute commande SCADA dans le MVP.</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Connecteurs en lecture seule.</w:t>
            </w:r>
          </w:p>
        </w:tc>
      </w:tr>
    </w:tbl>
    <w:p>
      <w:pPr>
        <w:spacing w:after="40"/>
      </w:pPr>
    </w:p>
    <w:p>
      <w:pPr>
        <w:pStyle w:val="Heading1"/>
      </w:pPr>
      <w:r>
        <w:t>13. Critères de recette fonctionnelle du MVP</w:t>
      </w:r>
    </w:p>
    <w:p>
      <w:pPr>
        <w:pStyle w:val="ListBullet"/>
      </w:pPr>
      <w:r>
        <w:t>Créer un projet complet avec au moins 100 tronçons, 5 stations, 15 pompes et 10 réservoirs.</w:t>
      </w:r>
    </w:p>
    <w:p>
      <w:pPr>
        <w:pStyle w:val="ListBullet"/>
      </w:pPr>
      <w:r>
        <w:t>Importer profil, propriétés, courbes de pompe et barémages sans modifier le code.</w:t>
      </w:r>
    </w:p>
    <w:p>
      <w:pPr>
        <w:pStyle w:val="ListBullet"/>
      </w:pPr>
      <w:r>
        <w:t>Calculer une baseline convergente et afficher les profils de pression et charge.</w:t>
      </w:r>
    </w:p>
    <w:p>
      <w:pPr>
        <w:pStyle w:val="ListBullet"/>
      </w:pPr>
      <w:r>
        <w:t>Créer cinq scénarios dont un avec pompe de secours et un non réalisable.</w:t>
      </w:r>
    </w:p>
    <w:p>
      <w:pPr>
        <w:pStyle w:val="ListBullet"/>
      </w:pPr>
      <w:r>
        <w:t>Simuler un transfert bac-à-bac et produire l’évolution des niveaux.</w:t>
      </w:r>
    </w:p>
    <w:p>
      <w:pPr>
        <w:pStyle w:val="ListBullet"/>
      </w:pPr>
      <w:r>
        <w:t>Comparer les scénarios et recommander une configuration selon énergie et contraintes.</w:t>
      </w:r>
    </w:p>
    <w:p>
      <w:pPr>
        <w:pStyle w:val="ListBullet"/>
      </w:pPr>
      <w:r>
        <w:t>Générer la note de calcul et les exports avec traçabilité complète.</w:t>
      </w:r>
    </w:p>
    <w:p>
      <w:pPr>
        <w:pStyle w:val="ListBullet"/>
      </w:pPr>
      <w:r>
        <w:t>Déployer la même version sur un poste local et un serveur de test.</w:t>
      </w:r>
    </w:p>
    <w:p>
      <w:pPr>
        <w:pStyle w:val="Heading1"/>
      </w:pPr>
      <w:r>
        <w:t>Sources et références</w:t>
      </w:r>
    </w:p>
    <w:p>
      <w:pPr>
        <w:pStyle w:val="ListBullet"/>
      </w:pPr>
      <w:r>
        <w:t>D01 à D03 pour le cadrage, les acteurs et les processus.</w:t>
      </w:r>
    </w:p>
    <w:p>
      <w:pPr>
        <w:pStyle w:val="ListBullet"/>
      </w:pPr>
      <w:r>
        <w:t>Documents techniques transmis pour les méthodes de pipeline, pompes, réservoirs et gaz.</w:t>
      </w:r>
    </w:p>
    <w:p>
      <w:pPr>
        <w:pStyle w:val="ListBullet"/>
      </w:pPr>
      <w:r>
        <w:t>D07 à D10 pour les équations, normes, données et validation.</w:t>
      </w:r>
    </w:p>
    <w:p>
      <w:pPr>
        <w:pStyle w:val="ListBullet"/>
      </w:pPr>
      <w:r>
        <w:t>D11 à D18 pour l’architecture, les API, la sécurité et la qualité.</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D04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complet</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