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D09</w:t>
      </w:r>
    </w:p>
    <w:p>
      <w:pPr>
        <w:spacing w:before="160"/>
        <w:jc w:val="center"/>
      </w:pPr>
      <w:r>
        <w:rPr>
          <w:rFonts w:ascii="Liberation Sans" w:hAnsi="Liberation Sans"/>
          <w:b/>
          <w:color w:val="17365D"/>
          <w:sz w:val="52"/>
        </w:rPr>
        <w:t>Dictionnaire des données</w:t>
      </w:r>
    </w:p>
    <w:p>
      <w:pPr>
        <w:spacing w:before="200"/>
        <w:jc w:val="center"/>
      </w:pPr>
      <w:r>
        <w:rPr>
          <w:rFonts w:ascii="Carlito" w:hAnsi="Carlito"/>
          <w:i/>
          <w:color w:val="243447"/>
          <w:sz w:val="25"/>
        </w:rPr>
        <w:t>Entités, attributs, unités, qualité et gouvernance des données</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D09</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w:t>
      </w:r>
    </w:p>
    <w:p>
      <w:pPr>
        <w:pStyle w:val="ListNumber"/>
      </w:pPr>
      <w:r>
        <w:t>Identifiants et versions</w:t>
      </w:r>
    </w:p>
    <w:p>
      <w:pPr>
        <w:pStyle w:val="ListNumber"/>
      </w:pPr>
      <w:r>
        <w:t>Projet et organisation</w:t>
      </w:r>
    </w:p>
    <w:p>
      <w:pPr>
        <w:pStyle w:val="ListNumber"/>
      </w:pPr>
      <w:r>
        <w:t>Réseau</w:t>
      </w:r>
    </w:p>
    <w:p>
      <w:pPr>
        <w:pStyle w:val="ListNumber"/>
      </w:pPr>
      <w:r>
        <w:t>Équipements</w:t>
      </w:r>
    </w:p>
    <w:p>
      <w:pPr>
        <w:pStyle w:val="ListNumber"/>
      </w:pPr>
      <w:r>
        <w:t>Fluides</w:t>
      </w:r>
    </w:p>
    <w:p>
      <w:pPr>
        <w:pStyle w:val="ListNumber"/>
      </w:pPr>
      <w:r>
        <w:t>Réservoirs</w:t>
      </w:r>
    </w:p>
    <w:p>
      <w:pPr>
        <w:pStyle w:val="ListNumber"/>
      </w:pPr>
      <w:r>
        <w:t>Scénarios</w:t>
      </w:r>
    </w:p>
    <w:p>
      <w:pPr>
        <w:pStyle w:val="ListNumber"/>
      </w:pPr>
      <w:r>
        <w:t>Résultats</w:t>
      </w:r>
    </w:p>
    <w:p>
      <w:pPr>
        <w:pStyle w:val="ListNumber"/>
      </w:pPr>
      <w:r>
        <w:t>Séries temporelles</w:t>
      </w:r>
    </w:p>
    <w:p>
      <w:pPr>
        <w:pStyle w:val="ListNumber"/>
      </w:pPr>
      <w:r>
        <w:t>Normes</w:t>
      </w:r>
    </w:p>
    <w:p>
      <w:pPr>
        <w:pStyle w:val="ListNumber"/>
      </w:pPr>
      <w:r>
        <w:t>Audit</w:t>
      </w:r>
    </w:p>
    <w:p>
      <w:pPr>
        <w:pStyle w:val="ListNumber"/>
      </w:pPr>
      <w:r>
        <w:t>Règles de qualité</w:t>
      </w:r>
    </w:p>
    <w:p>
      <w:pPr>
        <w:pStyle w:val="ListNumber"/>
      </w:pPr>
      <w:r>
        <w:t>Formats d’import</w:t>
      </w:r>
    </w:p>
    <w:p>
      <w:r>
        <w:rPr>
          <w:i/>
          <w:color w:val="6B7785"/>
          <w:sz w:val="17"/>
        </w:rPr>
        <w:t>La pagination peut évoluer après validation et mise en forme finale dans Microsoft Word ou LibreOffice.</w:t>
      </w:r>
    </w:p>
    <w:p>
      <w:r>
        <w:br w:type="page"/>
      </w:r>
    </w:p>
    <w:p>
      <w:pPr>
        <w:pStyle w:val="Heading1"/>
      </w:pPr>
      <w:r>
        <w:t>1. Principes</w:t>
      </w:r>
    </w:p>
    <w:p>
      <w:pPr>
        <w:pStyle w:val="ListBullet"/>
      </w:pPr>
      <w:r>
        <w:t>Chaque donnée possède un identifiant stable, une version ou une période de validité, une unité et une source.</w:t>
      </w:r>
    </w:p>
    <w:p>
      <w:pPr>
        <w:pStyle w:val="ListBullet"/>
      </w:pPr>
      <w:r>
        <w:t>Les données brutes ne sont pas écrasées par les données nettoyées ou réconciliées.</w:t>
      </w:r>
    </w:p>
    <w:p>
      <w:pPr>
        <w:pStyle w:val="ListBullet"/>
      </w:pPr>
      <w:r>
        <w:t>Les valeurs calculées sont séparées des valeurs mesurées et saisies.</w:t>
      </w:r>
    </w:p>
    <w:p>
      <w:pPr>
        <w:pStyle w:val="ListBullet"/>
      </w:pPr>
      <w:r>
        <w:t>Les coordonnées sont stockées avec leur système de référence.</w:t>
      </w:r>
    </w:p>
    <w:p>
      <w:pPr>
        <w:pStyle w:val="ListBullet"/>
      </w:pPr>
      <w:r>
        <w:t>Les unités internes sont SI et les valeurs d’origine sont conservées.</w:t>
      </w:r>
    </w:p>
    <w:p>
      <w:pPr>
        <w:pStyle w:val="ListBullet"/>
      </w:pPr>
      <w:r>
        <w:t>Toute donnée critique possède un code qualité et une traçabilité de modification.</w:t>
      </w:r>
    </w:p>
    <w:p>
      <w:pPr>
        <w:pStyle w:val="Heading1"/>
      </w:pPr>
      <w:r>
        <w:t>2. Conventions générales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Champ commun</w:t>
            </w:r>
          </w:p>
        </w:tc>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Type</w:t>
            </w:r>
          </w:p>
        </w:tc>
        <w:tc>
          <w:tcPr>
            <w:tcW w:type="dxa" w:w="4876"/>
            <w:vAlign w:val="center"/>
            <w:tcMar>
              <w:top w:w="80" w:type="dxa"/>
              <w:start w:w="90" w:type="dxa"/>
              <w:bottom w:w="80" w:type="dxa"/>
              <w:end w:w="90" w:type="dxa"/>
            </w:tcMar>
            <w:shd w:fill="17365D"/>
          </w:tcPr>
          <w:p>
            <w:pPr>
              <w:spacing w:after="0"/>
            </w:pPr>
            <w:r/>
            <w:r>
              <w:rPr>
                <w:rFonts w:ascii="Carlito" w:hAnsi="Carlito" w:eastAsia="Carlito"/>
                <w:b/>
                <w:color w:val="FFFFFF"/>
                <w:sz w:val="16"/>
              </w:rPr>
              <w:t>Règle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id</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UUID</w:t>
            </w:r>
          </w:p>
        </w:tc>
        <w:tc>
          <w:tcPr>
            <w:tcW w:type="dxa" w:w="4876"/>
            <w:vAlign w:val="center"/>
            <w:tcMar>
              <w:top w:w="80" w:type="dxa"/>
              <w:start w:w="90" w:type="dxa"/>
              <w:bottom w:w="80" w:type="dxa"/>
              <w:end w:w="90" w:type="dxa"/>
            </w:tcMar>
            <w:shd w:fill="F2F2F2"/>
          </w:tcPr>
          <w:p>
            <w:pPr>
              <w:spacing w:after="0"/>
            </w:pPr>
            <w:r/>
            <w:r>
              <w:rPr>
                <w:rFonts w:ascii="Carlito" w:hAnsi="Carlito" w:eastAsia="Carlito"/>
                <w:b w:val="0"/>
                <w:color w:val="243447"/>
                <w:sz w:val="16"/>
              </w:rPr>
              <w:t>Identifiant interne immuable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organization_id</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UUID</w:t>
            </w:r>
          </w:p>
        </w:tc>
        <w:tc>
          <w:tcPr>
            <w:tcW w:type="dxa" w:w="4876"/>
            <w:vAlign w:val="center"/>
            <w:tcMar>
              <w:top w:w="80" w:type="dxa"/>
              <w:start w:w="90" w:type="dxa"/>
              <w:bottom w:w="80" w:type="dxa"/>
              <w:end w:w="90" w:type="dxa"/>
            </w:tcMar>
          </w:tcPr>
          <w:p>
            <w:pPr>
              <w:spacing w:after="0"/>
            </w:pPr>
            <w:r/>
            <w:r>
              <w:rPr>
                <w:rFonts w:ascii="Carlito" w:hAnsi="Carlito" w:eastAsia="Carlito"/>
                <w:b w:val="0"/>
                <w:color w:val="243447"/>
                <w:sz w:val="16"/>
              </w:rPr>
              <w:t>Propriétaire logique de la donnée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created_at / updated_at</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timestamptz</w:t>
            </w:r>
          </w:p>
        </w:tc>
        <w:tc>
          <w:tcPr>
            <w:tcW w:type="dxa" w:w="4876"/>
            <w:vAlign w:val="center"/>
            <w:tcMar>
              <w:top w:w="80" w:type="dxa"/>
              <w:start w:w="90" w:type="dxa"/>
              <w:bottom w:w="80" w:type="dxa"/>
              <w:end w:w="90" w:type="dxa"/>
            </w:tcMar>
            <w:shd w:fill="F2F2F2"/>
          </w:tcPr>
          <w:p>
            <w:pPr>
              <w:spacing w:after="0"/>
            </w:pPr>
            <w:r/>
            <w:r>
              <w:rPr>
                <w:rFonts w:ascii="Carlito" w:hAnsi="Carlito" w:eastAsia="Carlito"/>
                <w:b w:val="0"/>
                <w:color w:val="243447"/>
                <w:sz w:val="16"/>
              </w:rPr>
              <w:t>UTC, affichage dans le fuseau du site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created_by / updated_by</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UUID utilisateur/service</w:t>
            </w:r>
          </w:p>
        </w:tc>
        <w:tc>
          <w:tcPr>
            <w:tcW w:type="dxa" w:w="4876"/>
            <w:vAlign w:val="center"/>
            <w:tcMar>
              <w:top w:w="80" w:type="dxa"/>
              <w:start w:w="90" w:type="dxa"/>
              <w:bottom w:w="80" w:type="dxa"/>
              <w:end w:w="90" w:type="dxa"/>
            </w:tcMar>
          </w:tcPr>
          <w:p>
            <w:pPr>
              <w:spacing w:after="0"/>
            </w:pPr>
            <w:r/>
            <w:r>
              <w:rPr>
                <w:rFonts w:ascii="Carlito" w:hAnsi="Carlito" w:eastAsia="Carlito"/>
                <w:b w:val="0"/>
                <w:color w:val="243447"/>
                <w:sz w:val="16"/>
              </w:rPr>
              <w:t>Audit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version</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entier ou chaîne semver</w:t>
            </w:r>
          </w:p>
        </w:tc>
        <w:tc>
          <w:tcPr>
            <w:tcW w:type="dxa" w:w="4876"/>
            <w:vAlign w:val="center"/>
            <w:tcMar>
              <w:top w:w="80" w:type="dxa"/>
              <w:start w:w="90" w:type="dxa"/>
              <w:bottom w:w="80" w:type="dxa"/>
              <w:end w:w="90" w:type="dxa"/>
            </w:tcMar>
            <w:shd w:fill="F2F2F2"/>
          </w:tcPr>
          <w:p>
            <w:pPr>
              <w:spacing w:after="0"/>
            </w:pPr>
            <w:r/>
            <w:r>
              <w:rPr>
                <w:rFonts w:ascii="Carlito" w:hAnsi="Carlito" w:eastAsia="Carlito"/>
                <w:b w:val="0"/>
                <w:color w:val="243447"/>
                <w:sz w:val="16"/>
              </w:rPr>
              <w:t>Incrément contrôlé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status</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enum</w:t>
            </w:r>
          </w:p>
        </w:tc>
        <w:tc>
          <w:tcPr>
            <w:tcW w:type="dxa" w:w="4876"/>
            <w:vAlign w:val="center"/>
            <w:tcMar>
              <w:top w:w="80" w:type="dxa"/>
              <w:start w:w="90" w:type="dxa"/>
              <w:bottom w:w="80" w:type="dxa"/>
              <w:end w:w="90" w:type="dxa"/>
            </w:tcMar>
          </w:tcPr>
          <w:p>
            <w:pPr>
              <w:spacing w:after="0"/>
            </w:pPr>
            <w:r/>
            <w:r>
              <w:rPr>
                <w:rFonts w:ascii="Carlito" w:hAnsi="Carlito" w:eastAsia="Carlito"/>
                <w:b w:val="0"/>
                <w:color w:val="243447"/>
                <w:sz w:val="16"/>
              </w:rPr>
              <w:t>draft, reviewed, approved, archived</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source_type</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enum</w:t>
            </w:r>
          </w:p>
        </w:tc>
        <w:tc>
          <w:tcPr>
            <w:tcW w:type="dxa" w:w="4876"/>
            <w:vAlign w:val="center"/>
            <w:tcMar>
              <w:top w:w="80" w:type="dxa"/>
              <w:start w:w="90" w:type="dxa"/>
              <w:bottom w:w="80" w:type="dxa"/>
              <w:end w:w="90" w:type="dxa"/>
            </w:tcMar>
            <w:shd w:fill="F2F2F2"/>
          </w:tcPr>
          <w:p>
            <w:pPr>
              <w:spacing w:after="0"/>
            </w:pPr>
            <w:r/>
            <w:r>
              <w:rPr>
                <w:rFonts w:ascii="Carlito" w:hAnsi="Carlito" w:eastAsia="Carlito"/>
                <w:b w:val="0"/>
                <w:color w:val="243447"/>
                <w:sz w:val="16"/>
              </w:rPr>
              <w:t>manual, import, sensor, computed, reconciled</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source_ref</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texte/UUID</w:t>
            </w:r>
          </w:p>
        </w:tc>
        <w:tc>
          <w:tcPr>
            <w:tcW w:type="dxa" w:w="4876"/>
            <w:vAlign w:val="center"/>
            <w:tcMar>
              <w:top w:w="80" w:type="dxa"/>
              <w:start w:w="90" w:type="dxa"/>
              <w:bottom w:w="80" w:type="dxa"/>
              <w:end w:w="90" w:type="dxa"/>
            </w:tcMar>
          </w:tcPr>
          <w:p>
            <w:pPr>
              <w:spacing w:after="0"/>
            </w:pPr>
            <w:r/>
            <w:r>
              <w:rPr>
                <w:rFonts w:ascii="Carlito" w:hAnsi="Carlito" w:eastAsia="Carlito"/>
                <w:b w:val="0"/>
                <w:color w:val="243447"/>
                <w:sz w:val="16"/>
              </w:rPr>
              <w:t>Référence du fichier, capteur ou calcul</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metadata</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JSONB</w:t>
            </w:r>
          </w:p>
        </w:tc>
        <w:tc>
          <w:tcPr>
            <w:tcW w:type="dxa" w:w="4876"/>
            <w:vAlign w:val="center"/>
            <w:tcMar>
              <w:top w:w="80" w:type="dxa"/>
              <w:start w:w="90" w:type="dxa"/>
              <w:bottom w:w="80" w:type="dxa"/>
              <w:end w:w="90" w:type="dxa"/>
            </w:tcMar>
            <w:shd w:fill="F2F2F2"/>
          </w:tcPr>
          <w:p>
            <w:pPr>
              <w:spacing w:after="0"/>
            </w:pPr>
            <w:r/>
            <w:r>
              <w:rPr>
                <w:rFonts w:ascii="Carlito" w:hAnsi="Carlito" w:eastAsia="Carlito"/>
                <w:b w:val="0"/>
                <w:color w:val="243447"/>
                <w:sz w:val="16"/>
              </w:rPr>
              <w:t>Extension contrôlée, non substitut aux champs structurés</w:t>
            </w:r>
          </w:p>
        </w:tc>
      </w:tr>
    </w:tbl>
    <w:p>
      <w:pPr>
        <w:spacing w:after="40"/>
      </w:pPr>
    </w:p>
    <w:p>
      <w:pPr>
        <w:pStyle w:val="Heading1"/>
      </w:pPr>
      <w:r>
        <w:t>3. Organisation, site et projet</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Entité.Champ</w:t>
            </w:r>
          </w:p>
        </w:tc>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6"/>
              </w:rPr>
              <w:t>Type/unité</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6"/>
              </w:rPr>
              <w:t>Obligatoire</w:t>
            </w:r>
          </w:p>
        </w:tc>
        <w:tc>
          <w:tcPr>
            <w:tcW w:type="dxa" w:w="3345"/>
            <w:vAlign w:val="center"/>
            <w:tcMar>
              <w:top w:w="80" w:type="dxa"/>
              <w:start w:w="90" w:type="dxa"/>
              <w:bottom w:w="80" w:type="dxa"/>
              <w:end w:w="90" w:type="dxa"/>
            </w:tcMar>
            <w:shd w:fill="17365D"/>
          </w:tcPr>
          <w:p>
            <w:pPr>
              <w:spacing w:after="0"/>
            </w:pPr>
            <w:r/>
            <w:r>
              <w:rPr>
                <w:rFonts w:ascii="Carlito" w:hAnsi="Carlito" w:eastAsia="Carlito"/>
                <w:b/>
                <w:color w:val="FFFFFF"/>
                <w:sz w:val="16"/>
              </w:rPr>
              <w:t>Description</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organization.name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texte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Nom de l’organisation</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site.name</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texte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Nom du dépôt, terminal ou système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site.timezone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IANA timezone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Fuseau d’exploitation</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site.srid</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entier</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Oui si SIG</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Système de coordonnées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project.name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texte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Nom du projet</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project.project_type</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enum</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liquid_pipeline, terminal, gas_pipeline, combined</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project.country_code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ISO 3166-1</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Pays principal</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project.unit_system</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enum</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SI au MVP ; affichage configurable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project.rule_set_ids</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UUID[]</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Référentiels sélectionnés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model_version.label</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texte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Oui</w:t>
            </w:r>
          </w:p>
        </w:tc>
        <w:tc>
          <w:tcPr>
            <w:tcW w:type="dxa" w:w="3345"/>
            <w:vAlign w:val="center"/>
            <w:tcMar>
              <w:top w:w="80" w:type="dxa"/>
              <w:start w:w="90" w:type="dxa"/>
              <w:bottom w:w="80" w:type="dxa"/>
              <w:end w:w="90" w:type="dxa"/>
            </w:tcMar>
          </w:tcPr>
          <w:p>
            <w:pPr>
              <w:spacing w:after="0"/>
            </w:pPr>
            <w:r/>
            <w:r>
              <w:rPr>
                <w:rFonts w:ascii="Carlito" w:hAnsi="Carlito" w:eastAsia="Carlito"/>
                <w:b w:val="0"/>
                <w:color w:val="243447"/>
                <w:sz w:val="16"/>
              </w:rPr>
              <w:t>Version de modèle calculable</w:t>
            </w:r>
          </w:p>
        </w:tc>
      </w:tr>
    </w:tbl>
    <w:p>
      <w:pPr>
        <w:spacing w:after="40"/>
      </w:pPr>
    </w:p>
    <w:p>
      <w:pPr>
        <w:pStyle w:val="Heading1"/>
      </w:pPr>
      <w:r>
        <w:t>4. Réseau et topologie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Entité.Champ</w:t>
            </w:r>
          </w:p>
        </w:tc>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Type/unité</w:t>
            </w:r>
          </w:p>
        </w:tc>
        <w:tc>
          <w:tcPr>
            <w:tcW w:type="dxa" w:w="3742"/>
            <w:vAlign w:val="center"/>
            <w:tcMar>
              <w:top w:w="80" w:type="dxa"/>
              <w:start w:w="90" w:type="dxa"/>
              <w:bottom w:w="80" w:type="dxa"/>
              <w:end w:w="90" w:type="dxa"/>
            </w:tcMar>
            <w:shd w:fill="17365D"/>
          </w:tcPr>
          <w:p>
            <w:pPr>
              <w:spacing w:after="0"/>
            </w:pPr>
            <w:r/>
            <w:r>
              <w:rPr>
                <w:rFonts w:ascii="Carlito" w:hAnsi="Carlito" w:eastAsia="Carlito"/>
                <w:b/>
                <w:color w:val="FFFFFF"/>
                <w:sz w:val="16"/>
              </w:rPr>
              <w:t>Validation</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node.node_type</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enum</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source, sink, junction, station, tank, boundary</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node.geometry</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PostGIS Point</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SRID du site</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node.elevation_m</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Plage projet et datum identifié</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edge.from_node_id / to_node_id</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UUID</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Nœuds existants et non identiques</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edge.length_m</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&gt; 0 ; calcul SIG ou saisie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edge.inner_diameter_m</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&gt; 0</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edge.outer_diameter_m</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 diamètre interne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edge.wall_thickness_m</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&gt; 0 et cohérente</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edge.roughness_m</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 0, source identifiée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edge.material_id</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UUID</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Référentiel matériau</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edge.maop_pa</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Pa</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&gt; pression minimale ; absolue/manométrique indiqué</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profile_point.chainage_m</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Ordre croissant</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profile_point.elevation_m</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Datum identique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edge.status</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enum</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available, unavailable, bypassed, maintenance</w:t>
            </w:r>
          </w:p>
        </w:tc>
      </w:tr>
    </w:tbl>
    <w:p>
      <w:pPr>
        <w:spacing w:after="40"/>
      </w:pPr>
    </w:p>
    <w:p>
      <w:pPr>
        <w:pStyle w:val="Heading1"/>
      </w:pPr>
      <w:r>
        <w:t>5. Équipements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38"/>
            <w:vAlign w:val="center"/>
            <w:tcMar>
              <w:top w:w="80" w:type="dxa"/>
              <w:start w:w="90" w:type="dxa"/>
              <w:bottom w:w="80" w:type="dxa"/>
              <w:end w:w="90" w:type="dxa"/>
            </w:tcMar>
            <w:shd w:fill="17365D"/>
          </w:tcPr>
          <w:p>
            <w:pPr>
              <w:spacing w:after="0"/>
            </w:pPr>
            <w:r/>
            <w:r>
              <w:rPr>
                <w:rFonts w:ascii="Carlito" w:hAnsi="Carlito" w:eastAsia="Carlito"/>
                <w:b/>
                <w:color w:val="FFFFFF"/>
                <w:sz w:val="16"/>
              </w:rPr>
              <w:t>Équipement</w:t>
            </w:r>
          </w:p>
        </w:tc>
        <w:tc>
          <w:tcPr>
            <w:tcW w:type="dxa" w:w="6973"/>
            <w:vAlign w:val="center"/>
            <w:tcMar>
              <w:top w:w="80" w:type="dxa"/>
              <w:start w:w="90" w:type="dxa"/>
              <w:bottom w:w="80" w:type="dxa"/>
              <w:end w:w="90" w:type="dxa"/>
            </w:tcMar>
            <w:shd w:fill="17365D"/>
          </w:tcPr>
          <w:p>
            <w:pPr>
              <w:spacing w:after="0"/>
            </w:pPr>
            <w:r/>
            <w:r>
              <w:rPr>
                <w:rFonts w:ascii="Carlito" w:hAnsi="Carlito" w:eastAsia="Carlito"/>
                <w:b/>
                <w:color w:val="FFFFFF"/>
                <w:sz w:val="16"/>
              </w:rPr>
              <w:t>Champs principaux</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PumpModel</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fabricant, modèle, vitesse, Q_min/Q_max, H(Q), η(Q), P(Q), NPSHr(Q), source, température/viscosité de référence</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PumpInstance</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station, pump_model_id, rôle, état, vitesse, moteur, heures de marche, limites</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Valve</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type, diamètre, Cv/Kv ou K, position, temps d’ouverture/fermeture, état de sécurité</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Filter</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coefficient/perte propre, perte limite, état de colmatage</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FlowMeter</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type, plage, précision, incertitude, tag, méthode de correction</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PressureSensor</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plage, précision, pression absolue/manométrique, élévation, tag</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CompressorModel futur</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carte, vitesse, rapport de pression, rendement, anti-surge, puissance</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Station</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coordonnée, altitude, configuration, collecteurs, conditions de limite</w:t>
            </w:r>
          </w:p>
        </w:tc>
      </w:tr>
    </w:tbl>
    <w:p>
      <w:pPr>
        <w:spacing w:after="40"/>
      </w:pPr>
    </w:p>
    <w:p>
      <w:pPr>
        <w:pStyle w:val="Heading1"/>
      </w:pPr>
      <w:r>
        <w:t>6. Fluides et propriétés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948"/>
            <w:vAlign w:val="center"/>
            <w:tcMar>
              <w:top w:w="80" w:type="dxa"/>
              <w:start w:w="90" w:type="dxa"/>
              <w:bottom w:w="80" w:type="dxa"/>
              <w:end w:w="90" w:type="dxa"/>
            </w:tcMar>
            <w:shd w:fill="17365D"/>
          </w:tcPr>
          <w:p>
            <w:pPr>
              <w:spacing w:after="0"/>
            </w:pPr>
            <w:r/>
            <w:r>
              <w:rPr>
                <w:rFonts w:ascii="Carlito" w:hAnsi="Carlito" w:eastAsia="Carlito"/>
                <w:b/>
                <w:color w:val="FFFFFF"/>
                <w:sz w:val="16"/>
              </w:rPr>
              <w:t>Champ</w:t>
            </w:r>
          </w:p>
        </w:tc>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Type/unité</w:t>
            </w:r>
          </w:p>
        </w:tc>
        <w:tc>
          <w:tcPr>
            <w:tcW w:type="dxa" w:w="4195"/>
            <w:vAlign w:val="center"/>
            <w:tcMar>
              <w:top w:w="80" w:type="dxa"/>
              <w:start w:w="90" w:type="dxa"/>
              <w:bottom w:w="80" w:type="dxa"/>
              <w:end w:w="90" w:type="dxa"/>
            </w:tcMar>
            <w:shd w:fill="17365D"/>
          </w:tcPr>
          <w:p>
            <w:pPr>
              <w:spacing w:after="0"/>
            </w:pPr>
            <w:r/>
            <w:r>
              <w:rPr>
                <w:rFonts w:ascii="Carlito" w:hAnsi="Carlito" w:eastAsia="Carlito"/>
                <w:b/>
                <w:color w:val="FFFFFF"/>
                <w:sz w:val="16"/>
              </w:rPr>
              <w:t>Description</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fluid.name</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texte</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Nom commercial ou échantillon</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fluid.category</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enum</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crude, gasoline, diesel, kerosene, fuel_oil, water, gas, custom</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fluid.batch_ref</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texte</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Lot ou analyse laboratoire</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property.property_type</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enum</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density, kinematic_viscosity, vapor_pressure, heat_capacity, etc.</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property.value</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double</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Valeur mesurée ou calculée</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property.unit</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UCUM/enum</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Unité d’origine</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property.temperature_k</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K</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Condition de mesure</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property.pressure_pa</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Pa abs</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Condition de mesure</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property.uncertainty</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double + unité</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Incertitude si disponible</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property.method</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texte/code</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Méthode laboratoire, corrélation ou bibliothèque</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property.valid_range</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JSONB structuré</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Bornes T/p/composition</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property.quality_status</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enum</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measured, approved, estimated, extrapolated</w:t>
            </w:r>
          </w:p>
        </w:tc>
      </w:tr>
    </w:tbl>
    <w:p>
      <w:pPr>
        <w:spacing w:after="40"/>
      </w:pPr>
    </w:p>
    <w:p>
      <w:pPr>
        <w:pStyle w:val="Heading1"/>
      </w:pPr>
      <w:r>
        <w:t>7. Réservoirs et stocks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3515"/>
            <w:vAlign w:val="center"/>
            <w:tcMar>
              <w:top w:w="80" w:type="dxa"/>
              <w:start w:w="90" w:type="dxa"/>
              <w:bottom w:w="80" w:type="dxa"/>
              <w:end w:w="90" w:type="dxa"/>
            </w:tcMar>
            <w:shd w:fill="17365D"/>
          </w:tcPr>
          <w:p>
            <w:pPr>
              <w:spacing w:after="0"/>
            </w:pPr>
            <w:r/>
            <w:r>
              <w:rPr>
                <w:rFonts w:ascii="Carlito" w:hAnsi="Carlito" w:eastAsia="Carlito"/>
                <w:b/>
                <w:color w:val="FFFFFF"/>
                <w:sz w:val="15"/>
              </w:rPr>
              <w:t>Champ</w:t>
            </w:r>
          </w:p>
        </w:tc>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5"/>
              </w:rPr>
              <w:t>Type/unité</w:t>
            </w:r>
          </w:p>
        </w:tc>
        <w:tc>
          <w:tcPr>
            <w:tcW w:type="dxa" w:w="3912"/>
            <w:vAlign w:val="center"/>
            <w:tcMar>
              <w:top w:w="80" w:type="dxa"/>
              <w:start w:w="90" w:type="dxa"/>
              <w:bottom w:w="80" w:type="dxa"/>
              <w:end w:w="90" w:type="dxa"/>
            </w:tcMar>
            <w:shd w:fill="17365D"/>
          </w:tcPr>
          <w:p>
            <w:pPr>
              <w:spacing w:after="0"/>
            </w:pPr>
            <w:r/>
            <w:r>
              <w:rPr>
                <w:rFonts w:ascii="Carlito" w:hAnsi="Carlito" w:eastAsia="Carlito"/>
                <w:b/>
                <w:color w:val="FFFFFF"/>
                <w:sz w:val="15"/>
              </w:rPr>
              <w:t>Règle</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5"/>
              </w:rPr>
              <w:t>tank.tank_type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enum</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5"/>
              </w:rPr>
              <w:t>vertical_fixed_roof, floating_roof, horizontal, sphere, custom</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5"/>
              </w:rPr>
              <w:t>tank.nominal_capacity_m3</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m³</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5"/>
              </w:rPr>
              <w:t>&gt; 0</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5"/>
              </w:rPr>
              <w:t>tank.min_operating_level_m</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m</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5"/>
              </w:rPr>
              <w:t>≥ 0</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5"/>
              </w:rPr>
              <w:t>tank.max_operating_level_m</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m</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5"/>
              </w:rPr>
              <w:t>&gt; min</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5"/>
              </w:rPr>
              <w:t>tank.high_level_m / high_high_level_m</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m</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5"/>
              </w:rPr>
              <w:t>high_high ≥ high</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5"/>
              </w:rPr>
              <w:t>tank.product_compatibility</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liste</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5"/>
              </w:rPr>
              <w:t>Règles par produit</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5"/>
              </w:rPr>
              <w:t>strapping_table.height_m</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m</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5"/>
              </w:rPr>
              <w:t>Monotone croissant</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5"/>
              </w:rPr>
              <w:t>strapping_table.volume_m3</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m³</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5"/>
              </w:rPr>
              <w:t>Monotone croissant</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5"/>
              </w:rPr>
              <w:t>inventory.timestamp</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timestamptz</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5"/>
              </w:rPr>
              <w:t>Horodatage source</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5"/>
              </w:rPr>
              <w:t>inventory.level_m</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m</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5"/>
              </w:rPr>
              <w:t>Dans plage capteur</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5"/>
              </w:rPr>
              <w:t>inventory.temperature_k</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K</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5"/>
              </w:rPr>
              <w:t>Moyenne ou profil indiqué</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5"/>
              </w:rPr>
              <w:t>inventory.free_water_m</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m</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5"/>
              </w:rPr>
              <w:t>Optionnel</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5"/>
              </w:rPr>
              <w:t>inventory.observed_volume_m3</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m³</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Calculé ou mesuré</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5"/>
              </w:rPr>
              <w:t>inventory.standard_volume_m3</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m³</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5"/>
              </w:rPr>
              <w:t>Méthode de correction identifiée</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5"/>
              </w:rPr>
              <w:t>inventory.mass_kg</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kg</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5"/>
              </w:rPr>
              <w:t>Densité et référence enregistrées</w:t>
            </w:r>
          </w:p>
        </w:tc>
      </w:tr>
    </w:tbl>
    <w:p>
      <w:pPr>
        <w:spacing w:after="40"/>
      </w:pPr>
    </w:p>
    <w:p>
      <w:pPr>
        <w:pStyle w:val="Heading1"/>
      </w:pPr>
      <w:r>
        <w:t>8. Scénarios et calculs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Entité.Champ</w:t>
            </w:r>
          </w:p>
        </w:tc>
        <w:tc>
          <w:tcPr>
            <w:tcW w:type="dxa" w:w="6009"/>
            <w:vAlign w:val="center"/>
            <w:tcMar>
              <w:top w:w="80" w:type="dxa"/>
              <w:start w:w="90" w:type="dxa"/>
              <w:bottom w:w="80" w:type="dxa"/>
              <w:end w:w="90" w:type="dxa"/>
            </w:tcMar>
            <w:shd w:fill="17365D"/>
          </w:tcPr>
          <w:p>
            <w:pPr>
              <w:spacing w:after="0"/>
            </w:pPr>
            <w:r/>
            <w:r>
              <w:rPr>
                <w:rFonts w:ascii="Carlito" w:hAnsi="Carlito" w:eastAsia="Carlito"/>
                <w:b/>
                <w:color w:val="FFFFFF"/>
                <w:sz w:val="16"/>
              </w:rPr>
              <w:t>Description</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scenario.id / parent_id</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Identité et filiation du scénario</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scenario.baseline_model_version_id</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Version du modèle source</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scenario.boundary_conditions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Pressions, débits, niveaux, demandes et températures</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scenario.equipment_overrides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États, vitesses et positions modifiés</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scenario.objectives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 cible, pression, coût, énergie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calculation.engine_version</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Version du moteur et du commit</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calculation.method_config</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Tolérances, corrélations, solveur, paramètres</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calculation.status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queued, running, converged, failed, cancelled</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calculation.started_at/finished_at</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Durée et audit</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calculation.input_hash</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Empreinte des entrées</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calculation.log_uri</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Journal scientifique immuable</w:t>
            </w:r>
          </w:p>
        </w:tc>
      </w:tr>
    </w:tbl>
    <w:p>
      <w:pPr>
        <w:spacing w:after="40"/>
      </w:pPr>
    </w:p>
    <w:p>
      <w:pPr>
        <w:pStyle w:val="Heading1"/>
      </w:pPr>
      <w:r>
        <w:t>9. Résultats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38"/>
            <w:vAlign w:val="center"/>
            <w:tcMar>
              <w:top w:w="80" w:type="dxa"/>
              <w:start w:w="90" w:type="dxa"/>
              <w:bottom w:w="80" w:type="dxa"/>
              <w:end w:w="90" w:type="dxa"/>
            </w:tcMar>
            <w:shd w:fill="17365D"/>
          </w:tcPr>
          <w:p>
            <w:pPr>
              <w:spacing w:after="0"/>
            </w:pPr>
            <w:r/>
            <w:r>
              <w:rPr>
                <w:rFonts w:ascii="Carlito" w:hAnsi="Carlito" w:eastAsia="Carlito"/>
                <w:b/>
                <w:color w:val="FFFFFF"/>
                <w:sz w:val="16"/>
              </w:rPr>
              <w:t>Résultat</w:t>
            </w:r>
          </w:p>
        </w:tc>
        <w:tc>
          <w:tcPr>
            <w:tcW w:type="dxa" w:w="6973"/>
            <w:vAlign w:val="center"/>
            <w:tcMar>
              <w:top w:w="80" w:type="dxa"/>
              <w:start w:w="90" w:type="dxa"/>
              <w:bottom w:w="80" w:type="dxa"/>
              <w:end w:w="90" w:type="dxa"/>
            </w:tcMar>
            <w:shd w:fill="17365D"/>
          </w:tcPr>
          <w:p>
            <w:pPr>
              <w:spacing w:after="0"/>
            </w:pPr>
            <w:r/>
            <w:r>
              <w:rPr>
                <w:rFonts w:ascii="Carlito" w:hAnsi="Carlito" w:eastAsia="Carlito"/>
                <w:b/>
                <w:color w:val="FFFFFF"/>
                <w:sz w:val="16"/>
              </w:rPr>
              <w:t>Champs principaux</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NodeResult</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pressure_pa, head_m, temperature_k, quality_flags</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EdgeResult</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flow_m3s, velocity_ms, reynolds, friction_factor, headloss_m, pressure_min/max</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PumpResult</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flow, head, suction/discharge pressure, efficiency, power, NPSHa, NPSHr, margin, operating_status</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TankTransferResult</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time, source/destination levels, flow, energy, final volumes, limit events</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ScenarioSummary</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feasible, objective_value, violations, warnings, KPI</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NormCheckResult</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rule_id, status, value, limit, margin, message</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ValidationResult</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reference_case, expected, actual, error, tolerance, pass/fail</w:t>
            </w:r>
          </w:p>
        </w:tc>
      </w:tr>
    </w:tbl>
    <w:p>
      <w:pPr>
        <w:spacing w:after="40"/>
      </w:pPr>
    </w:p>
    <w:p>
      <w:pPr>
        <w:pStyle w:val="Heading1"/>
      </w:pPr>
      <w:r>
        <w:t>10. Séries temporelles et qualité</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Champ</w:t>
            </w:r>
          </w:p>
        </w:tc>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Type</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6"/>
              </w:rPr>
              <w:t>Description</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tag.id / external_name</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UUID/texte</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Identifiant interne et nom SCADA</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tag.asset_id</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UUID</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Équipement associé</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tag.measurement_type</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enum</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pressure, flow, level, temperature, status, vibration, energy</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sample.source_timestamp</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timestamptz</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Horodatage du capteur/PLC</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sample.ingest_timestamp</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timestamptz</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Horodatage de réception</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sample.value</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double/bool/text</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Valeur</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sample.unit</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unité</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Unité source</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sample.quality_code</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enum/bitmask</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good, uncertain, bad, substituted, estimated</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sample.sequence_no</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entier</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Détection de pertes/ordre</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sample.raw_payload_ref</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URI/hash</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Traçabilité optionnelle</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sample.normalized_value</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double</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Valeur SI</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sample.processing_version</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texte</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Pipeline de nettoyage</w:t>
            </w:r>
          </w:p>
        </w:tc>
      </w:tr>
    </w:tbl>
    <w:p>
      <w:pPr>
        <w:spacing w:after="40"/>
      </w:pPr>
    </w:p>
    <w:p>
      <w:pPr>
        <w:pStyle w:val="Heading1"/>
      </w:pPr>
      <w:r>
        <w:t>11. Normes et règles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Entité</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6"/>
              </w:rPr>
              <w:t>Champs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Standard</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6"/>
              </w:rPr>
              <w:t>organization, code, title, edition, publication_date, status, licensed_copy_ref</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RuleSet</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6"/>
              </w:rPr>
              <w:t>country, domain, standard_ids, version, approval_status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Rule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6"/>
              </w:rPr>
              <w:t>code, severity, applicability_expression, calculation_expression, parameters, message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RuleParameter</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6"/>
              </w:rPr>
              <w:t>name, value, unit, condition, source_clause_ref</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RuleEvaluation</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6"/>
              </w:rPr>
              <w:t>rule_id, object_id, status, measured, limit, margin, calculation_id</w:t>
            </w:r>
          </w:p>
        </w:tc>
      </w:tr>
    </w:tbl>
    <w:p>
      <w:pPr>
        <w:spacing w:after="40"/>
      </w:pPr>
    </w:p>
    <w:p>
      <w:pPr>
        <w:pStyle w:val="Heading1"/>
      </w:pPr>
      <w:r>
        <w:t>12. Audit et sécurité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Champ</w:t>
            </w:r>
          </w:p>
        </w:tc>
        <w:tc>
          <w:tcPr>
            <w:tcW w:type="dxa" w:w="6009"/>
            <w:vAlign w:val="center"/>
            <w:tcMar>
              <w:top w:w="80" w:type="dxa"/>
              <w:start w:w="90" w:type="dxa"/>
              <w:bottom w:w="80" w:type="dxa"/>
              <w:end w:w="90" w:type="dxa"/>
            </w:tcMar>
            <w:shd w:fill="17365D"/>
          </w:tcPr>
          <w:p>
            <w:pPr>
              <w:spacing w:after="0"/>
            </w:pPr>
            <w:r/>
            <w:r>
              <w:rPr>
                <w:rFonts w:ascii="Carlito" w:hAnsi="Carlito" w:eastAsia="Carlito"/>
                <w:b/>
                <w:color w:val="FFFFFF"/>
                <w:sz w:val="16"/>
              </w:rPr>
              <w:t>Description</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audit_event.timestamp</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UTC</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audit_event.actor</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Utilisateur, service ou connecteur</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audit_event.action</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create, update, delete, approve, calculate, export, login, permission_change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audit_event.object_type/object_id</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Objet concerné</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audit_event.before/after_hash</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Empreintes ou diff contrôlé</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audit_event.ip/device</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Contexte selon politique</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audit_event.correlation_id</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Lien avec requête, tâche et calcul</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audit_event.result</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success/failure et raison</w:t>
            </w:r>
          </w:p>
        </w:tc>
      </w:tr>
    </w:tbl>
    <w:p>
      <w:pPr>
        <w:spacing w:after="40"/>
      </w:pPr>
    </w:p>
    <w:p>
      <w:pPr>
        <w:pStyle w:val="Heading1"/>
      </w:pPr>
      <w:r>
        <w:t>13. Règles de qualité</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304"/>
            <w:vAlign w:val="center"/>
            <w:tcMar>
              <w:top w:w="80" w:type="dxa"/>
              <w:start w:w="90" w:type="dxa"/>
              <w:bottom w:w="80" w:type="dxa"/>
              <w:end w:w="90" w:type="dxa"/>
            </w:tcMar>
            <w:shd w:fill="17365D"/>
          </w:tcPr>
          <w:p>
            <w:pPr>
              <w:spacing w:after="0"/>
            </w:pPr>
            <w:r/>
            <w:r>
              <w:rPr>
                <w:rFonts w:ascii="Carlito" w:hAnsi="Carlito" w:eastAsia="Carlito"/>
                <w:b/>
                <w:color w:val="FFFFFF"/>
                <w:sz w:val="16"/>
              </w:rPr>
              <w:t>Code</w:t>
            </w:r>
          </w:p>
        </w:tc>
        <w:tc>
          <w:tcPr>
            <w:tcW w:type="dxa" w:w="6236"/>
            <w:vAlign w:val="center"/>
            <w:tcMar>
              <w:top w:w="80" w:type="dxa"/>
              <w:start w:w="90" w:type="dxa"/>
              <w:bottom w:w="80" w:type="dxa"/>
              <w:end w:w="90" w:type="dxa"/>
            </w:tcMar>
            <w:shd w:fill="17365D"/>
          </w:tcPr>
          <w:p>
            <w:pPr>
              <w:spacing w:after="0"/>
            </w:pPr>
            <w:r/>
            <w:r>
              <w:rPr>
                <w:rFonts w:ascii="Carlito" w:hAnsi="Carlito" w:eastAsia="Carlito"/>
                <w:b/>
                <w:color w:val="FFFFFF"/>
                <w:sz w:val="16"/>
              </w:rPr>
              <w:t>Contrôle</w:t>
            </w:r>
          </w:p>
        </w:tc>
        <w:tc>
          <w:tcPr>
            <w:tcW w:type="dxa" w:w="1871"/>
            <w:vAlign w:val="center"/>
            <w:tcMar>
              <w:top w:w="80" w:type="dxa"/>
              <w:start w:w="90" w:type="dxa"/>
              <w:bottom w:w="80" w:type="dxa"/>
              <w:end w:w="90" w:type="dxa"/>
            </w:tcMar>
            <w:shd w:fill="17365D"/>
          </w:tcPr>
          <w:p>
            <w:pPr>
              <w:spacing w:after="0"/>
            </w:pPr>
            <w:r/>
            <w:r>
              <w:rPr>
                <w:rFonts w:ascii="Carlito" w:hAnsi="Carlito" w:eastAsia="Carlito"/>
                <w:b/>
                <w:color w:val="FFFFFF"/>
                <w:sz w:val="16"/>
              </w:rPr>
              <w:t>Sévérité</w:t>
            </w:r>
          </w:p>
        </w:tc>
      </w:tr>
      <w:tr>
        <w:tc>
          <w:tcPr>
            <w:tcW w:type="dxa" w:w="1304"/>
            <w:vAlign w:val="center"/>
            <w:tcMar>
              <w:top w:w="80" w:type="dxa"/>
              <w:start w:w="90" w:type="dxa"/>
              <w:bottom w:w="80" w:type="dxa"/>
              <w:end w:w="90" w:type="dxa"/>
            </w:tcMar>
            <w:shd w:fill="F2F2F2"/>
          </w:tcPr>
          <w:p>
            <w:pPr>
              <w:spacing w:after="0"/>
            </w:pPr>
            <w:r/>
            <w:r>
              <w:rPr>
                <w:rFonts w:ascii="Carlito" w:hAnsi="Carlito" w:eastAsia="Carlito"/>
                <w:b w:val="0"/>
                <w:color w:val="243447"/>
                <w:sz w:val="16"/>
              </w:rPr>
              <w:t>DQ-001</w:t>
            </w:r>
          </w:p>
        </w:tc>
        <w:tc>
          <w:tcPr>
            <w:tcW w:type="dxa" w:w="6236"/>
            <w:vAlign w:val="center"/>
            <w:tcMar>
              <w:top w:w="80" w:type="dxa"/>
              <w:start w:w="90" w:type="dxa"/>
              <w:bottom w:w="80" w:type="dxa"/>
              <w:end w:w="90" w:type="dxa"/>
            </w:tcMar>
            <w:shd w:fill="F2F2F2"/>
          </w:tcPr>
          <w:p>
            <w:pPr>
              <w:spacing w:after="0"/>
            </w:pPr>
            <w:r/>
            <w:r>
              <w:rPr>
                <w:rFonts w:ascii="Carlito" w:hAnsi="Carlito" w:eastAsia="Carlito"/>
                <w:b w:val="0"/>
                <w:color w:val="243447"/>
                <w:sz w:val="16"/>
              </w:rPr>
              <w:t>Unité inconnue ou incompatible</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Bloquant</w:t>
            </w:r>
          </w:p>
        </w:tc>
      </w:tr>
      <w:tr>
        <w:tc>
          <w:tcPr>
            <w:tcW w:type="dxa" w:w="1304"/>
            <w:vAlign w:val="center"/>
            <w:tcMar>
              <w:top w:w="80" w:type="dxa"/>
              <w:start w:w="90" w:type="dxa"/>
              <w:bottom w:w="80" w:type="dxa"/>
              <w:end w:w="90" w:type="dxa"/>
            </w:tcMar>
          </w:tcPr>
          <w:p>
            <w:pPr>
              <w:spacing w:after="0"/>
            </w:pPr>
            <w:r/>
            <w:r>
              <w:rPr>
                <w:rFonts w:ascii="Carlito" w:hAnsi="Carlito" w:eastAsia="Carlito"/>
                <w:b w:val="0"/>
                <w:color w:val="243447"/>
                <w:sz w:val="16"/>
              </w:rPr>
              <w:t>DQ-002</w:t>
            </w:r>
          </w:p>
        </w:tc>
        <w:tc>
          <w:tcPr>
            <w:tcW w:type="dxa" w:w="6236"/>
            <w:vAlign w:val="center"/>
            <w:tcMar>
              <w:top w:w="80" w:type="dxa"/>
              <w:start w:w="90" w:type="dxa"/>
              <w:bottom w:w="80" w:type="dxa"/>
              <w:end w:w="90" w:type="dxa"/>
            </w:tcMar>
          </w:tcPr>
          <w:p>
            <w:pPr>
              <w:spacing w:after="0"/>
            </w:pPr>
            <w:r/>
            <w:r>
              <w:rPr>
                <w:rFonts w:ascii="Carlito" w:hAnsi="Carlito" w:eastAsia="Carlito"/>
                <w:b w:val="0"/>
                <w:color w:val="243447"/>
                <w:sz w:val="16"/>
              </w:rPr>
              <w:t>Diamètre, longueur ou capacité non positive</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Bloquant</w:t>
            </w:r>
          </w:p>
        </w:tc>
      </w:tr>
      <w:tr>
        <w:tc>
          <w:tcPr>
            <w:tcW w:type="dxa" w:w="1304"/>
            <w:vAlign w:val="center"/>
            <w:tcMar>
              <w:top w:w="80" w:type="dxa"/>
              <w:start w:w="90" w:type="dxa"/>
              <w:bottom w:w="80" w:type="dxa"/>
              <w:end w:w="90" w:type="dxa"/>
            </w:tcMar>
            <w:shd w:fill="F2F2F2"/>
          </w:tcPr>
          <w:p>
            <w:pPr>
              <w:spacing w:after="0"/>
            </w:pPr>
            <w:r/>
            <w:r>
              <w:rPr>
                <w:rFonts w:ascii="Carlito" w:hAnsi="Carlito" w:eastAsia="Carlito"/>
                <w:b w:val="0"/>
                <w:color w:val="243447"/>
                <w:sz w:val="16"/>
              </w:rPr>
              <w:t>DQ-003</w:t>
            </w:r>
          </w:p>
        </w:tc>
        <w:tc>
          <w:tcPr>
            <w:tcW w:type="dxa" w:w="6236"/>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Profil non ordonné ou doublons incohérents</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Bloquant</w:t>
            </w:r>
          </w:p>
        </w:tc>
      </w:tr>
      <w:tr>
        <w:tc>
          <w:tcPr>
            <w:tcW w:type="dxa" w:w="1304"/>
            <w:vAlign w:val="center"/>
            <w:tcMar>
              <w:top w:w="80" w:type="dxa"/>
              <w:start w:w="90" w:type="dxa"/>
              <w:bottom w:w="80" w:type="dxa"/>
              <w:end w:w="90" w:type="dxa"/>
            </w:tcMar>
          </w:tcPr>
          <w:p>
            <w:pPr>
              <w:spacing w:after="0"/>
            </w:pPr>
            <w:r/>
            <w:r>
              <w:rPr>
                <w:rFonts w:ascii="Carlito" w:hAnsi="Carlito" w:eastAsia="Carlito"/>
                <w:b w:val="0"/>
                <w:color w:val="243447"/>
                <w:sz w:val="16"/>
              </w:rPr>
              <w:t>DQ-004</w:t>
            </w:r>
          </w:p>
        </w:tc>
        <w:tc>
          <w:tcPr>
            <w:tcW w:type="dxa" w:w="6236"/>
            <w:vAlign w:val="center"/>
            <w:tcMar>
              <w:top w:w="80" w:type="dxa"/>
              <w:start w:w="90" w:type="dxa"/>
              <w:bottom w:w="80" w:type="dxa"/>
              <w:end w:w="90" w:type="dxa"/>
            </w:tcMar>
          </w:tcPr>
          <w:p>
            <w:pPr>
              <w:spacing w:after="0"/>
            </w:pPr>
            <w:r/>
            <w:r>
              <w:rPr>
                <w:rFonts w:ascii="Carlito" w:hAnsi="Carlito" w:eastAsia="Carlito"/>
                <w:b w:val="0"/>
                <w:color w:val="243447"/>
                <w:sz w:val="16"/>
              </w:rPr>
              <w:t>Barémage non monotone</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Bloquant</w:t>
            </w:r>
          </w:p>
        </w:tc>
      </w:tr>
      <w:tr>
        <w:tc>
          <w:tcPr>
            <w:tcW w:type="dxa" w:w="1304"/>
            <w:vAlign w:val="center"/>
            <w:tcMar>
              <w:top w:w="80" w:type="dxa"/>
              <w:start w:w="90" w:type="dxa"/>
              <w:bottom w:w="80" w:type="dxa"/>
              <w:end w:w="90" w:type="dxa"/>
            </w:tcMar>
            <w:shd w:fill="F2F2F2"/>
          </w:tcPr>
          <w:p>
            <w:pPr>
              <w:spacing w:after="0"/>
            </w:pPr>
            <w:r/>
            <w:r>
              <w:rPr>
                <w:rFonts w:ascii="Carlito" w:hAnsi="Carlito" w:eastAsia="Carlito"/>
                <w:b w:val="0"/>
                <w:color w:val="243447"/>
                <w:sz w:val="16"/>
              </w:rPr>
              <w:t>DQ-005</w:t>
            </w:r>
          </w:p>
        </w:tc>
        <w:tc>
          <w:tcPr>
            <w:tcW w:type="dxa" w:w="6236"/>
            <w:vAlign w:val="center"/>
            <w:tcMar>
              <w:top w:w="80" w:type="dxa"/>
              <w:start w:w="90" w:type="dxa"/>
              <w:bottom w:w="80" w:type="dxa"/>
              <w:end w:w="90" w:type="dxa"/>
            </w:tcMar>
            <w:shd w:fill="F2F2F2"/>
          </w:tcPr>
          <w:p>
            <w:pPr>
              <w:spacing w:after="0"/>
            </w:pPr>
            <w:r/>
            <w:r>
              <w:rPr>
                <w:rFonts w:ascii="Carlito" w:hAnsi="Carlito" w:eastAsia="Carlito"/>
                <w:b w:val="0"/>
                <w:color w:val="243447"/>
                <w:sz w:val="16"/>
              </w:rPr>
              <w:t>Courbe pompe avec domaine insuffisant</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Avertissement/bloquant selon usage</w:t>
            </w:r>
          </w:p>
        </w:tc>
      </w:tr>
      <w:tr>
        <w:tc>
          <w:tcPr>
            <w:tcW w:type="dxa" w:w="1304"/>
            <w:vAlign w:val="center"/>
            <w:tcMar>
              <w:top w:w="80" w:type="dxa"/>
              <w:start w:w="90" w:type="dxa"/>
              <w:bottom w:w="80" w:type="dxa"/>
              <w:end w:w="90" w:type="dxa"/>
            </w:tcMar>
          </w:tcPr>
          <w:p>
            <w:pPr>
              <w:spacing w:after="0"/>
            </w:pPr>
            <w:r/>
            <w:r>
              <w:rPr>
                <w:rFonts w:ascii="Carlito" w:hAnsi="Carlito" w:eastAsia="Carlito"/>
                <w:b w:val="0"/>
                <w:color w:val="243447"/>
                <w:sz w:val="16"/>
              </w:rPr>
              <w:t>DQ-006</w:t>
            </w:r>
          </w:p>
        </w:tc>
        <w:tc>
          <w:tcPr>
            <w:tcW w:type="dxa" w:w="6236"/>
            <w:vAlign w:val="center"/>
            <w:tcMar>
              <w:top w:w="80" w:type="dxa"/>
              <w:start w:w="90" w:type="dxa"/>
              <w:bottom w:w="80" w:type="dxa"/>
              <w:end w:w="90" w:type="dxa"/>
            </w:tcMar>
          </w:tcPr>
          <w:p>
            <w:pPr>
              <w:spacing w:after="0"/>
            </w:pPr>
            <w:r/>
            <w:r>
              <w:rPr>
                <w:rFonts w:ascii="Carlito" w:hAnsi="Carlito" w:eastAsia="Carlito"/>
                <w:b w:val="0"/>
                <w:color w:val="243447"/>
                <w:sz w:val="16"/>
              </w:rPr>
              <w:t>Propriété extrapolée</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Avertissement</w:t>
            </w:r>
          </w:p>
        </w:tc>
      </w:tr>
      <w:tr>
        <w:tc>
          <w:tcPr>
            <w:tcW w:type="dxa" w:w="1304"/>
            <w:vAlign w:val="center"/>
            <w:tcMar>
              <w:top w:w="80" w:type="dxa"/>
              <w:start w:w="90" w:type="dxa"/>
              <w:bottom w:w="80" w:type="dxa"/>
              <w:end w:w="90" w:type="dxa"/>
            </w:tcMar>
            <w:shd w:fill="F2F2F2"/>
          </w:tcPr>
          <w:p>
            <w:pPr>
              <w:spacing w:after="0"/>
            </w:pPr>
            <w:r/>
            <w:r>
              <w:rPr>
                <w:rFonts w:ascii="Carlito" w:hAnsi="Carlito" w:eastAsia="Carlito"/>
                <w:b w:val="0"/>
                <w:color w:val="243447"/>
                <w:sz w:val="16"/>
              </w:rPr>
              <w:t>DQ-007</w:t>
            </w:r>
          </w:p>
        </w:tc>
        <w:tc>
          <w:tcPr>
            <w:tcW w:type="dxa" w:w="6236"/>
            <w:vAlign w:val="center"/>
            <w:tcMar>
              <w:top w:w="80" w:type="dxa"/>
              <w:start w:w="90" w:type="dxa"/>
              <w:bottom w:w="80" w:type="dxa"/>
              <w:end w:w="90" w:type="dxa"/>
            </w:tcMar>
            <w:shd w:fill="F2F2F2"/>
          </w:tcPr>
          <w:p>
            <w:pPr>
              <w:spacing w:after="0"/>
            </w:pPr>
            <w:r/>
            <w:r>
              <w:rPr>
                <w:rFonts w:ascii="Carlito" w:hAnsi="Carlito" w:eastAsia="Carlito"/>
                <w:b w:val="0"/>
                <w:color w:val="243447"/>
                <w:sz w:val="16"/>
              </w:rPr>
              <w:t>Horodatage absent ou hors ordre</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Avertissement/bloquant</w:t>
            </w:r>
          </w:p>
        </w:tc>
      </w:tr>
      <w:tr>
        <w:tc>
          <w:tcPr>
            <w:tcW w:type="dxa" w:w="1304"/>
            <w:vAlign w:val="center"/>
            <w:tcMar>
              <w:top w:w="80" w:type="dxa"/>
              <w:start w:w="90" w:type="dxa"/>
              <w:bottom w:w="80" w:type="dxa"/>
              <w:end w:w="90" w:type="dxa"/>
            </w:tcMar>
          </w:tcPr>
          <w:p>
            <w:pPr>
              <w:spacing w:after="0"/>
            </w:pPr>
            <w:r/>
            <w:r>
              <w:rPr>
                <w:rFonts w:ascii="Carlito" w:hAnsi="Carlito" w:eastAsia="Carlito"/>
                <w:b w:val="0"/>
                <w:color w:val="243447"/>
                <w:sz w:val="16"/>
              </w:rPr>
              <w:t>DQ-008</w:t>
            </w:r>
          </w:p>
        </w:tc>
        <w:tc>
          <w:tcPr>
            <w:tcW w:type="dxa" w:w="6236"/>
            <w:vAlign w:val="center"/>
            <w:tcMar>
              <w:top w:w="80" w:type="dxa"/>
              <w:start w:w="90" w:type="dxa"/>
              <w:bottom w:w="80" w:type="dxa"/>
              <w:end w:w="90" w:type="dxa"/>
            </w:tcMar>
          </w:tcPr>
          <w:p>
            <w:pPr>
              <w:spacing w:after="0"/>
            </w:pPr>
            <w:r/>
            <w:r>
              <w:rPr>
                <w:rFonts w:ascii="Carlito" w:hAnsi="Carlito" w:eastAsia="Carlito"/>
                <w:b w:val="0"/>
                <w:color w:val="243447"/>
                <w:sz w:val="16"/>
              </w:rPr>
              <w:t>Code qualité capteur mauvais</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Exclure par défaut</w:t>
            </w:r>
          </w:p>
        </w:tc>
      </w:tr>
      <w:tr>
        <w:tc>
          <w:tcPr>
            <w:tcW w:type="dxa" w:w="1304"/>
            <w:vAlign w:val="center"/>
            <w:tcMar>
              <w:top w:w="80" w:type="dxa"/>
              <w:start w:w="90" w:type="dxa"/>
              <w:bottom w:w="80" w:type="dxa"/>
              <w:end w:w="90" w:type="dxa"/>
            </w:tcMar>
            <w:shd w:fill="F2F2F2"/>
          </w:tcPr>
          <w:p>
            <w:pPr>
              <w:spacing w:after="0"/>
            </w:pPr>
            <w:r/>
            <w:r>
              <w:rPr>
                <w:rFonts w:ascii="Carlito" w:hAnsi="Carlito" w:eastAsia="Carlito"/>
                <w:b w:val="0"/>
                <w:color w:val="243447"/>
                <w:sz w:val="16"/>
              </w:rPr>
              <w:t>DQ-009</w:t>
            </w:r>
          </w:p>
        </w:tc>
        <w:tc>
          <w:tcPr>
            <w:tcW w:type="dxa" w:w="6236"/>
            <w:vAlign w:val="center"/>
            <w:tcMar>
              <w:top w:w="80" w:type="dxa"/>
              <w:start w:w="90" w:type="dxa"/>
              <w:bottom w:w="80" w:type="dxa"/>
              <w:end w:w="90" w:type="dxa"/>
            </w:tcMar>
            <w:shd w:fill="F2F2F2"/>
          </w:tcPr>
          <w:p>
            <w:pPr>
              <w:spacing w:after="0"/>
            </w:pPr>
            <w:r/>
            <w:r>
              <w:rPr>
                <w:rFonts w:ascii="Carlito" w:hAnsi="Carlito" w:eastAsia="Carlito"/>
                <w:b w:val="0"/>
                <w:color w:val="243447"/>
                <w:sz w:val="16"/>
              </w:rPr>
              <w:t>Bilan de masse incohérent</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Avertissement critique</w:t>
            </w:r>
          </w:p>
        </w:tc>
      </w:tr>
      <w:tr>
        <w:tc>
          <w:tcPr>
            <w:tcW w:type="dxa" w:w="1304"/>
            <w:vAlign w:val="center"/>
            <w:tcMar>
              <w:top w:w="80" w:type="dxa"/>
              <w:start w:w="90" w:type="dxa"/>
              <w:bottom w:w="80" w:type="dxa"/>
              <w:end w:w="90" w:type="dxa"/>
            </w:tcMar>
          </w:tcPr>
          <w:p>
            <w:pPr>
              <w:spacing w:after="0"/>
            </w:pPr>
            <w:r/>
            <w:r>
              <w:rPr>
                <w:rFonts w:ascii="Carlito" w:hAnsi="Carlito" w:eastAsia="Carlito"/>
                <w:b w:val="0"/>
                <w:color w:val="243447"/>
                <w:sz w:val="16"/>
              </w:rPr>
              <w:t>DQ-010</w:t>
            </w:r>
          </w:p>
        </w:tc>
        <w:tc>
          <w:tcPr>
            <w:tcW w:type="dxa" w:w="6236"/>
            <w:vAlign w:val="center"/>
            <w:tcMar>
              <w:top w:w="80" w:type="dxa"/>
              <w:start w:w="90" w:type="dxa"/>
              <w:bottom w:w="80" w:type="dxa"/>
              <w:end w:w="90" w:type="dxa"/>
            </w:tcMar>
          </w:tcPr>
          <w:p>
            <w:pPr>
              <w:spacing w:after="0"/>
            </w:pPr>
            <w:r/>
            <w:r>
              <w:rPr>
                <w:rFonts w:ascii="Carlito" w:hAnsi="Carlito" w:eastAsia="Carlito"/>
                <w:b w:val="0"/>
                <w:color w:val="243447"/>
                <w:sz w:val="16"/>
              </w:rPr>
              <w:t>Référence normative non approuvée</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Bloquant pour rapport approuvé</w:t>
            </w:r>
          </w:p>
        </w:tc>
      </w:tr>
    </w:tbl>
    <w:p>
      <w:pPr>
        <w:spacing w:after="40"/>
      </w:pPr>
    </w:p>
    <w:p>
      <w:pPr>
        <w:pStyle w:val="Heading1"/>
      </w:pPr>
      <w:r>
        <w:t>14. Formats d’import MVP</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Format</w:t>
            </w:r>
          </w:p>
        </w:tc>
        <w:tc>
          <w:tcPr>
            <w:tcW w:type="dxa" w:w="3515"/>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Règles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CSV UTF-8</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Profils, courbes, propriétés, séries</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Séparateur détecté ou choisi, point décimal explicite</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XLSX</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Jeux de données structurés</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Feuille et en-têtes mappés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JSON versionné</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Topologie et scénarios</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Schéma JSON publié</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GeoJSON</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Tracé et équipements géographiques</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CRS défini/converti</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Parquet futur</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Historique volumineux</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Schéma et compression définis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OPC UA futur</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Tags en lecture seule</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Namespace, NodeId, unité et qualité mappés</w:t>
            </w:r>
          </w:p>
        </w:tc>
      </w:tr>
    </w:tbl>
    <w:p>
      <w:pPr>
        <w:spacing w:after="40"/>
      </w:pPr>
    </w:p>
    <w:p>
      <w:pPr>
        <w:pStyle w:val="Heading1"/>
      </w:pPr>
      <w:r>
        <w:t>Sources et références</w:t>
      </w:r>
    </w:p>
    <w:p>
      <w:pPr>
        <w:pStyle w:val="ListBullet"/>
      </w:pPr>
      <w:r>
        <w:t>D04 - Exigences fonctionnelles.</w:t>
      </w:r>
    </w:p>
    <w:p>
      <w:pPr>
        <w:pStyle w:val="ListBullet"/>
      </w:pPr>
      <w:r>
        <w:t>D07 - Modèles scientifiques.</w:t>
      </w:r>
    </w:p>
    <w:p>
      <w:pPr>
        <w:pStyle w:val="ListBullet"/>
      </w:pPr>
      <w:r>
        <w:t>D11/D12 - Architecture et modèle de données.</w:t>
      </w:r>
    </w:p>
    <w:p>
      <w:pPr>
        <w:pStyle w:val="ListBullet"/>
      </w:pPr>
      <w:r>
        <w:t>Pratiques OPC UA pour qualité et horodatage des mesures.</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D09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Dictionnaire des données</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