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D11</w:t>
      </w:r>
    </w:p>
    <w:p>
      <w:pPr>
        <w:spacing w:before="160"/>
        <w:jc w:val="center"/>
      </w:pPr>
      <w:r>
        <w:rPr>
          <w:rFonts w:ascii="Liberation Sans" w:hAnsi="Liberation Sans"/>
          <w:b/>
          <w:color w:val="17365D"/>
          <w:sz w:val="52"/>
        </w:rPr>
        <w:t>Architecture logicielle détaillée</w:t>
      </w:r>
    </w:p>
    <w:p>
      <w:pPr>
        <w:spacing w:before="200"/>
        <w:jc w:val="center"/>
      </w:pPr>
      <w:r>
        <w:rPr>
          <w:rFonts w:ascii="Carlito" w:hAnsi="Carlito"/>
          <w:i/>
          <w:color w:val="243447"/>
          <w:sz w:val="25"/>
        </w:rPr>
        <w:t>Architecture cible, composants, déploiement et décisions techniques</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validation métier et scientifique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D11</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Principes</w:t>
      </w:r>
    </w:p>
    <w:p>
      <w:pPr>
        <w:pStyle w:val="ListNumber"/>
      </w:pPr>
      <w:r>
        <w:t>Architecture logique</w:t>
      </w:r>
    </w:p>
    <w:p>
      <w:pPr>
        <w:pStyle w:val="ListNumber"/>
      </w:pPr>
      <w:r>
        <w:t>Domaines</w:t>
      </w:r>
    </w:p>
    <w:p>
      <w:pPr>
        <w:pStyle w:val="ListNumber"/>
      </w:pPr>
      <w:r>
        <w:t>Moteur de calcul</w:t>
      </w:r>
    </w:p>
    <w:p>
      <w:pPr>
        <w:pStyle w:val="ListNumber"/>
      </w:pPr>
      <w:r>
        <w:t>Frontend</w:t>
      </w:r>
    </w:p>
    <w:p>
      <w:pPr>
        <w:pStyle w:val="ListNumber"/>
      </w:pPr>
      <w:r>
        <w:t>Backend</w:t>
      </w:r>
    </w:p>
    <w:p>
      <w:pPr>
        <w:pStyle w:val="ListNumber"/>
      </w:pPr>
      <w:r>
        <w:t>Tâches longues</w:t>
      </w:r>
    </w:p>
    <w:p>
      <w:pPr>
        <w:pStyle w:val="ListNumber"/>
      </w:pPr>
      <w:r>
        <w:t>Stockage</w:t>
      </w:r>
    </w:p>
    <w:p>
      <w:pPr>
        <w:pStyle w:val="ListNumber"/>
      </w:pPr>
      <w:r>
        <w:t>Déploiement</w:t>
      </w:r>
    </w:p>
    <w:p>
      <w:pPr>
        <w:pStyle w:val="ListNumber"/>
      </w:pPr>
      <w:r>
        <w:t>Évolutivité</w:t>
      </w:r>
    </w:p>
    <w:p>
      <w:pPr>
        <w:pStyle w:val="ListNumber"/>
      </w:pPr>
      <w:r>
        <w:t>Environnements</w:t>
      </w:r>
    </w:p>
    <w:p>
      <w:pPr>
        <w:pStyle w:val="ListNumber"/>
      </w:pPr>
      <w:r>
        <w:t>Décisions ADR</w:t>
      </w:r>
    </w:p>
    <w:p>
      <w:pPr>
        <w:pStyle w:val="ListNumber"/>
      </w:pPr>
      <w:r>
        <w:t>Risques</w:t>
      </w:r>
    </w:p>
    <w:p>
      <w:r>
        <w:rPr>
          <w:i/>
          <w:color w:val="6B7785"/>
          <w:sz w:val="17"/>
        </w:rPr>
        <w:t>La pagination peut évoluer après validation et mise en forme finale dans Microsoft Word ou LibreOffice.</w:t>
      </w:r>
    </w:p>
    <w:p>
      <w:r>
        <w:br w:type="page"/>
      </w:r>
    </w:p>
    <w:p>
      <w:pPr>
        <w:pStyle w:val="Heading1"/>
      </w:pPr>
      <w:r>
        <w:t>1. Principes d’architecture</w:t>
      </w:r>
    </w:p>
    <w:p>
      <w:pPr>
        <w:pStyle w:val="ListBullet"/>
      </w:pPr>
      <w:r>
        <w:t>Monolithe modulaire au MVP afin de rester maîtrisable par deux développeurs.</w:t>
      </w:r>
    </w:p>
    <w:p>
      <w:pPr>
        <w:pStyle w:val="ListBullet"/>
      </w:pPr>
      <w:r>
        <w:t>Séparation forte des domaines : projets, réseau, physique, scénarios, stockage, données, rapports et administration.</w:t>
      </w:r>
    </w:p>
    <w:p>
      <w:pPr>
        <w:pStyle w:val="ListBullet"/>
      </w:pPr>
      <w:r>
        <w:t>Le noyau scientifique doit être utilisable comme bibliothèque Python indépendante du web.</w:t>
      </w:r>
    </w:p>
    <w:p>
      <w:pPr>
        <w:pStyle w:val="ListBullet"/>
      </w:pPr>
      <w:r>
        <w:t>Les calculs longs s’exécutent dans des workers et produisent des résultats immuables.</w:t>
      </w:r>
    </w:p>
    <w:p>
      <w:pPr>
        <w:pStyle w:val="ListBullet"/>
      </w:pPr>
      <w:r>
        <w:t>PostgreSQL est la source transactionnelle ; PostGIS gère la géométrie ; stockage objet pour fichiers et rapports.</w:t>
      </w:r>
    </w:p>
    <w:p>
      <w:pPr>
        <w:pStyle w:val="ListBullet"/>
      </w:pPr>
      <w:r>
        <w:t>Les intégrations industrielles sont isolées dans des connecteurs et restent en lecture seule au départ.</w:t>
      </w:r>
    </w:p>
    <w:p>
      <w:pPr>
        <w:pStyle w:val="ListBullet"/>
      </w:pPr>
      <w:r>
        <w:t>Les moteurs non Python futurs communiquent par API/version de modèle, pas par couplage direct au code.</w:t>
      </w:r>
    </w:p>
    <w:tbl>
      <w:tblPr>
        <w:tblW w:type="auto" w:w="0"/>
        <w:jc w:val="center"/>
        <w:tblLook w:firstColumn="1" w:firstRow="1" w:lastColumn="0" w:lastRow="0" w:noHBand="0" w:noVBand="1" w:val="04A0"/>
      </w:tblPr>
      <w:tblGrid>
        <w:gridCol w:w="9979"/>
      </w:tblGrid>
      <w:tr>
        <w:tc>
          <w:tcPr>
            <w:tcW w:type="dxa" w:w="9979"/>
            <w:shd w:fill="E2F0D9"/>
            <w:tcMar>
              <w:top w:w="130" w:type="dxa"/>
              <w:start w:w="140" w:type="dxa"/>
              <w:bottom w:w="130" w:type="dxa"/>
              <w:end w:w="140" w:type="dxa"/>
            </w:tcMar>
          </w:tcPr>
          <w:p>
            <w:r/>
            <w:r>
              <w:rPr>
                <w:rFonts w:ascii="Liberation Sans" w:hAnsi="Liberation Sans"/>
                <w:b/>
                <w:color w:val="17365D"/>
                <w:sz w:val="21"/>
              </w:rPr>
              <w:t>Choix directeur</w:t>
            </w:r>
          </w:p>
          <w:p>
            <w:pPr>
              <w:spacing w:after="0"/>
            </w:pPr>
            <w:r>
              <w:rPr>
                <w:rFonts w:ascii="Carlito" w:hAnsi="Carlito"/>
                <w:color w:val="243447"/>
                <w:sz w:val="19"/>
              </w:rPr>
              <w:t>Python + FastAPI + PostgreSQL/PostGIS + React/TypeScript constitue le socle. Cette stack maximise la productivité scientifique, l’écosystème de données et la capacité de recrutement tout en restant adaptée à une petite équipe.</w:t>
            </w:r>
          </w:p>
        </w:tc>
      </w:tr>
    </w:tbl>
    <w:p>
      <w:pPr>
        <w:spacing w:after="20"/>
      </w:pPr>
    </w:p>
    <w:p>
      <w:pPr>
        <w:pStyle w:val="Heading1"/>
      </w:pPr>
      <w:r>
        <w:t>2. Vue logique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6"/>
              </w:rPr>
              <w:t>Couche</w:t>
            </w:r>
          </w:p>
        </w:tc>
        <w:tc>
          <w:tcPr>
            <w:tcW w:type="dxa" w:w="2948"/>
            <w:vAlign w:val="center"/>
            <w:tcMar>
              <w:top w:w="80" w:type="dxa"/>
              <w:start w:w="90" w:type="dxa"/>
              <w:bottom w:w="80" w:type="dxa"/>
              <w:end w:w="90" w:type="dxa"/>
            </w:tcMar>
            <w:shd w:fill="17365D"/>
          </w:tcPr>
          <w:p>
            <w:pPr>
              <w:spacing w:after="0"/>
            </w:pPr>
            <w:r/>
            <w:r>
              <w:rPr>
                <w:rFonts w:ascii="Carlito" w:hAnsi="Carlito" w:eastAsia="Carlito"/>
                <w:b/>
                <w:color w:val="FFFFFF"/>
                <w:sz w:val="16"/>
              </w:rPr>
              <w:t>Composants</w:t>
            </w:r>
          </w:p>
        </w:tc>
        <w:tc>
          <w:tcPr>
            <w:tcW w:type="dxa" w:w="4762"/>
            <w:vAlign w:val="center"/>
            <w:tcMar>
              <w:top w:w="80" w:type="dxa"/>
              <w:start w:w="90" w:type="dxa"/>
              <w:bottom w:w="80" w:type="dxa"/>
              <w:end w:w="90" w:type="dxa"/>
            </w:tcMar>
            <w:shd w:fill="17365D"/>
          </w:tcPr>
          <w:p>
            <w:pPr>
              <w:spacing w:after="0"/>
            </w:pPr>
            <w:r/>
            <w:r>
              <w:rPr>
                <w:rFonts w:ascii="Carlito" w:hAnsi="Carlito" w:eastAsia="Carlito"/>
                <w:b/>
                <w:color w:val="FFFFFF"/>
                <w:sz w:val="16"/>
              </w:rPr>
              <w:t>Responsabilité</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Présentation</w:t>
            </w:r>
          </w:p>
        </w:tc>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6"/>
              </w:rPr>
              <w:t>React, TypeScript, ECharts/Plotly, MapLibre</w:t>
            </w:r>
          </w:p>
        </w:tc>
        <w:tc>
          <w:tcPr>
            <w:tcW w:type="dxa" w:w="4762"/>
            <w:vAlign w:val="center"/>
            <w:tcMar>
              <w:top w:w="80" w:type="dxa"/>
              <w:start w:w="90" w:type="dxa"/>
              <w:bottom w:w="80" w:type="dxa"/>
              <w:end w:w="90" w:type="dxa"/>
            </w:tcMar>
            <w:shd w:fill="F2F2F2"/>
          </w:tcPr>
          <w:p>
            <w:pPr>
              <w:spacing w:after="0"/>
            </w:pPr>
            <w:r/>
            <w:r>
              <w:rPr>
                <w:rFonts w:ascii="Carlito" w:hAnsi="Carlito" w:eastAsia="Carlito"/>
                <w:b w:val="0"/>
                <w:color w:val="243447"/>
                <w:sz w:val="16"/>
              </w:rPr>
              <w:t>Éditeur, tableaux, cartes, graphiques, administration</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API applicative</w:t>
            </w:r>
          </w:p>
        </w:tc>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6"/>
              </w:rPr>
              <w:t>FastAPI, Pydantic</w:t>
            </w:r>
          </w:p>
        </w:tc>
        <w:tc>
          <w:tcPr>
            <w:tcW w:type="dxa" w:w="4762"/>
            <w:vAlign w:val="center"/>
            <w:tcMar>
              <w:top w:w="80" w:type="dxa"/>
              <w:start w:w="90" w:type="dxa"/>
              <w:bottom w:w="80" w:type="dxa"/>
              <w:end w:w="90" w:type="dxa"/>
            </w:tcMar>
          </w:tcPr>
          <w:p>
            <w:pPr>
              <w:spacing w:after="0"/>
            </w:pPr>
            <w:r/>
            <w:r>
              <w:rPr>
                <w:rFonts w:ascii="Carlito" w:hAnsi="Carlito" w:eastAsia="Carlito"/>
                <w:b w:val="0"/>
                <w:color w:val="243447"/>
                <w:sz w:val="16"/>
              </w:rPr>
              <w:t>Cas d’usage, validation, permissions, orchestration</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Domaines métier</w:t>
            </w:r>
          </w:p>
        </w:tc>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6"/>
              </w:rPr>
              <w:t>Modules Python</w:t>
            </w:r>
          </w:p>
        </w:tc>
        <w:tc>
          <w:tcPr>
            <w:tcW w:type="dxa" w:w="4762"/>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Projets, actifs, produits, scénarios, calculs, rapports</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Noyau scientifique</w:t>
            </w:r>
          </w:p>
        </w:tc>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6"/>
              </w:rPr>
              <w:t>NumPy, SciPy, fluids, fonctions internes</w:t>
            </w:r>
          </w:p>
        </w:tc>
        <w:tc>
          <w:tcPr>
            <w:tcW w:type="dxa" w:w="4762"/>
            <w:vAlign w:val="center"/>
            <w:tcMar>
              <w:top w:w="80" w:type="dxa"/>
              <w:start w:w="90" w:type="dxa"/>
              <w:bottom w:w="80" w:type="dxa"/>
              <w:end w:w="90" w:type="dxa"/>
            </w:tcMar>
          </w:tcPr>
          <w:p>
            <w:pPr>
              <w:spacing w:after="0"/>
            </w:pPr>
            <w:r/>
            <w:r>
              <w:rPr>
                <w:rFonts w:ascii="Carlito" w:hAnsi="Carlito" w:eastAsia="Carlito"/>
                <w:b w:val="0"/>
                <w:color w:val="243447"/>
                <w:sz w:val="16"/>
              </w:rPr>
              <w:t>Équations, solveurs, diagnostics et validation</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Optimisation</w:t>
            </w:r>
          </w:p>
        </w:tc>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6"/>
              </w:rPr>
              <w:t>Pyomo + solveurs</w:t>
            </w:r>
          </w:p>
        </w:tc>
        <w:tc>
          <w:tcPr>
            <w:tcW w:type="dxa" w:w="4762"/>
            <w:vAlign w:val="center"/>
            <w:tcMar>
              <w:top w:w="80" w:type="dxa"/>
              <w:start w:w="90" w:type="dxa"/>
              <w:bottom w:w="80" w:type="dxa"/>
              <w:end w:w="90" w:type="dxa"/>
            </w:tcMar>
            <w:shd w:fill="F2F2F2"/>
          </w:tcPr>
          <w:p>
            <w:pPr>
              <w:spacing w:after="0"/>
            </w:pPr>
            <w:r/>
            <w:r>
              <w:rPr>
                <w:rFonts w:ascii="Carlito" w:hAnsi="Carlito" w:eastAsia="Carlito"/>
                <w:b w:val="0"/>
                <w:color w:val="243447"/>
                <w:sz w:val="16"/>
              </w:rPr>
              <w:t>Configurations de pompes, planning futur</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Persistance</w:t>
            </w:r>
          </w:p>
        </w:tc>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6"/>
              </w:rPr>
              <w:t>PostgreSQL, PostGIS, Alembic</w:t>
            </w:r>
          </w:p>
        </w:tc>
        <w:tc>
          <w:tcPr>
            <w:tcW w:type="dxa" w:w="4762"/>
            <w:vAlign w:val="center"/>
            <w:tcMar>
              <w:top w:w="80" w:type="dxa"/>
              <w:start w:w="90" w:type="dxa"/>
              <w:bottom w:w="80" w:type="dxa"/>
              <w:end w:w="90" w:type="dxa"/>
            </w:tcMar>
          </w:tcPr>
          <w:p>
            <w:pPr>
              <w:spacing w:after="0"/>
            </w:pPr>
            <w:r/>
            <w:r>
              <w:rPr>
                <w:rFonts w:ascii="Carlito" w:hAnsi="Carlito" w:eastAsia="Carlito"/>
                <w:b w:val="0"/>
                <w:color w:val="243447"/>
                <w:sz w:val="16"/>
              </w:rPr>
              <w:t>Données structurées, géométrie, versions et audit</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Fichiers</w:t>
            </w:r>
          </w:p>
        </w:tc>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6"/>
              </w:rPr>
              <w:t>S3/MinIO ou filesystem abstrait</w:t>
            </w:r>
          </w:p>
        </w:tc>
        <w:tc>
          <w:tcPr>
            <w:tcW w:type="dxa" w:w="4762"/>
            <w:vAlign w:val="center"/>
            <w:tcMar>
              <w:top w:w="80" w:type="dxa"/>
              <w:start w:w="90" w:type="dxa"/>
              <w:bottom w:w="80" w:type="dxa"/>
              <w:end w:w="90" w:type="dxa"/>
            </w:tcMar>
            <w:shd w:fill="F2F2F2"/>
          </w:tcPr>
          <w:p>
            <w:pPr>
              <w:spacing w:after="0"/>
            </w:pPr>
            <w:r/>
            <w:r>
              <w:rPr>
                <w:rFonts w:ascii="Carlito" w:hAnsi="Carlito" w:eastAsia="Carlito"/>
                <w:b w:val="0"/>
                <w:color w:val="243447"/>
                <w:sz w:val="16"/>
              </w:rPr>
              <w:t>Imports, exports, courbes, rapports, journaux</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Asynchrone</w:t>
            </w:r>
          </w:p>
        </w:tc>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6"/>
              </w:rPr>
              <w:t>Worker Python + broker léger</w:t>
            </w:r>
          </w:p>
        </w:tc>
        <w:tc>
          <w:tcPr>
            <w:tcW w:type="dxa" w:w="4762"/>
            <w:vAlign w:val="center"/>
            <w:tcMar>
              <w:top w:w="80" w:type="dxa"/>
              <w:start w:w="90" w:type="dxa"/>
              <w:bottom w:w="80" w:type="dxa"/>
              <w:end w:w="90" w:type="dxa"/>
            </w:tcMar>
          </w:tcPr>
          <w:p>
            <w:pPr>
              <w:spacing w:after="0"/>
            </w:pPr>
            <w:r/>
            <w:r>
              <w:rPr>
                <w:rFonts w:ascii="Carlito" w:hAnsi="Carlito" w:eastAsia="Carlito"/>
                <w:b w:val="0"/>
                <w:color w:val="243447"/>
                <w:sz w:val="16"/>
              </w:rPr>
              <w:t>Calculs, imports, rapports et optimisations</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Observabilité</w:t>
            </w:r>
          </w:p>
        </w:tc>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6"/>
              </w:rPr>
              <w:t>Logs structurés, métriques, traces</w:t>
            </w:r>
          </w:p>
        </w:tc>
        <w:tc>
          <w:tcPr>
            <w:tcW w:type="dxa" w:w="4762"/>
            <w:vAlign w:val="center"/>
            <w:tcMar>
              <w:top w:w="80" w:type="dxa"/>
              <w:start w:w="90" w:type="dxa"/>
              <w:bottom w:w="80" w:type="dxa"/>
              <w:end w:w="90" w:type="dxa"/>
            </w:tcMar>
            <w:shd w:fill="F2F2F2"/>
          </w:tcPr>
          <w:p>
            <w:pPr>
              <w:spacing w:after="0"/>
            </w:pPr>
            <w:r/>
            <w:r>
              <w:rPr>
                <w:rFonts w:ascii="Carlito" w:hAnsi="Carlito" w:eastAsia="Carlito"/>
                <w:b w:val="0"/>
                <w:color w:val="243447"/>
                <w:sz w:val="16"/>
              </w:rPr>
              <w:t>Diagnostic opérationnel et scientifique</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Intégrations futures</w:t>
            </w:r>
          </w:p>
        </w:tc>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6"/>
              </w:rPr>
              <w:t>OPC UA, PLC4X, MQTT, TimescaleDB</w:t>
            </w:r>
          </w:p>
        </w:tc>
        <w:tc>
          <w:tcPr>
            <w:tcW w:type="dxa" w:w="4762"/>
            <w:vAlign w:val="center"/>
            <w:tcMar>
              <w:top w:w="80" w:type="dxa"/>
              <w:start w:w="90" w:type="dxa"/>
              <w:bottom w:w="80" w:type="dxa"/>
              <w:end w:w="90" w:type="dxa"/>
            </w:tcMar>
          </w:tcPr>
          <w:p>
            <w:pPr>
              <w:spacing w:after="0"/>
            </w:pPr>
            <w:r/>
            <w:r>
              <w:rPr>
                <w:rFonts w:ascii="Carlito" w:hAnsi="Carlito" w:eastAsia="Carlito"/>
                <w:b w:val="0"/>
                <w:color w:val="243447"/>
                <w:sz w:val="16"/>
              </w:rPr>
              <w:t>Lecture OT et historiques</w:t>
            </w:r>
          </w:p>
        </w:tc>
      </w:tr>
    </w:tbl>
    <w:p>
      <w:pPr>
        <w:spacing w:after="40"/>
      </w:pPr>
    </w:p>
    <w:p>
      <w:pPr>
        <w:pStyle w:val="Heading1"/>
      </w:pPr>
      <w:r>
        <w:t>3. Domaines et modules du monolithe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14"/>
            <w:vAlign w:val="center"/>
            <w:tcMar>
              <w:top w:w="80" w:type="dxa"/>
              <w:start w:w="90" w:type="dxa"/>
              <w:bottom w:w="80" w:type="dxa"/>
              <w:end w:w="90" w:type="dxa"/>
            </w:tcMar>
            <w:shd w:fill="17365D"/>
          </w:tcPr>
          <w:p>
            <w:pPr>
              <w:spacing w:after="0"/>
            </w:pPr>
            <w:r/>
            <w:r>
              <w:rPr>
                <w:rFonts w:ascii="Carlito" w:hAnsi="Carlito" w:eastAsia="Carlito"/>
                <w:b/>
                <w:color w:val="FFFFFF"/>
                <w:sz w:val="15"/>
              </w:rPr>
              <w:t>Module</w:t>
            </w:r>
          </w:p>
        </w:tc>
        <w:tc>
          <w:tcPr>
            <w:tcW w:type="dxa" w:w="4592"/>
            <w:vAlign w:val="center"/>
            <w:tcMar>
              <w:top w:w="80" w:type="dxa"/>
              <w:start w:w="90" w:type="dxa"/>
              <w:bottom w:w="80" w:type="dxa"/>
              <w:end w:w="90" w:type="dxa"/>
            </w:tcMar>
            <w:shd w:fill="17365D"/>
          </w:tcPr>
          <w:p>
            <w:pPr>
              <w:spacing w:after="0"/>
            </w:pPr>
            <w:r/>
            <w:r>
              <w:rPr>
                <w:rFonts w:ascii="Carlito" w:hAnsi="Carlito" w:eastAsia="Carlito"/>
                <w:b/>
                <w:color w:val="FFFFFF"/>
                <w:sz w:val="15"/>
              </w:rPr>
              <w:t>Responsabilités</w:t>
            </w:r>
          </w:p>
        </w:tc>
        <w:tc>
          <w:tcPr>
            <w:tcW w:type="dxa" w:w="3005"/>
            <w:vAlign w:val="center"/>
            <w:tcMar>
              <w:top w:w="80" w:type="dxa"/>
              <w:start w:w="90" w:type="dxa"/>
              <w:bottom w:w="80" w:type="dxa"/>
              <w:end w:w="90" w:type="dxa"/>
            </w:tcMar>
            <w:shd w:fill="17365D"/>
          </w:tcPr>
          <w:p>
            <w:pPr>
              <w:spacing w:after="0"/>
            </w:pPr>
            <w:r/>
            <w:r>
              <w:rPr>
                <w:rFonts w:ascii="Carlito" w:hAnsi="Carlito" w:eastAsia="Carlito"/>
                <w:b/>
                <w:color w:val="FFFFFF"/>
                <w:sz w:val="15"/>
              </w:rPr>
              <w:t>Dépendances autorisées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5"/>
              </w:rPr>
              <w:t>identity</w:t>
            </w:r>
          </w:p>
        </w:tc>
        <w:tc>
          <w:tcPr>
            <w:tcW w:type="dxa" w:w="4592"/>
            <w:vAlign w:val="center"/>
            <w:tcMar>
              <w:top w:w="80" w:type="dxa"/>
              <w:start w:w="90" w:type="dxa"/>
              <w:bottom w:w="80" w:type="dxa"/>
              <w:end w:w="90" w:type="dxa"/>
            </w:tcMar>
            <w:shd w:fill="F2F2F2"/>
          </w:tcPr>
          <w:p>
            <w:pPr>
              <w:spacing w:after="0"/>
            </w:pPr>
            <w:r/>
            <w:r>
              <w:rPr>
                <w:rFonts w:ascii="Carlito" w:hAnsi="Carlito" w:eastAsia="Carlito"/>
                <w:b w:val="0"/>
                <w:color w:val="243447"/>
                <w:sz w:val="15"/>
              </w:rPr>
              <w:t>Utilisateurs, rôles, organisations</w:t>
            </w:r>
          </w:p>
        </w:tc>
        <w:tc>
          <w:tcPr>
            <w:tcW w:type="dxa" w:w="3005"/>
            <w:vAlign w:val="center"/>
            <w:tcMar>
              <w:top w:w="80" w:type="dxa"/>
              <w:start w:w="90" w:type="dxa"/>
              <w:bottom w:w="80" w:type="dxa"/>
              <w:end w:w="90" w:type="dxa"/>
            </w:tcMar>
            <w:shd w:fill="F2F2F2"/>
          </w:tcPr>
          <w:p>
            <w:pPr>
              <w:spacing w:after="0"/>
            </w:pPr>
            <w:r/>
            <w:r>
              <w:rPr>
                <w:rFonts w:ascii="Carlito" w:hAnsi="Carlito" w:eastAsia="Carlito"/>
                <w:b w:val="0"/>
                <w:color w:val="243447"/>
                <w:sz w:val="15"/>
              </w:rPr>
              <w:t>shared uniquement</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5"/>
              </w:rPr>
              <w:t>projects</w:t>
            </w:r>
          </w:p>
        </w:tc>
        <w:tc>
          <w:tcPr>
            <w:tcW w:type="dxa" w:w="4592"/>
            <w:vAlign w:val="center"/>
            <w:tcMar>
              <w:top w:w="80" w:type="dxa"/>
              <w:start w:w="90" w:type="dxa"/>
              <w:bottom w:w="80" w:type="dxa"/>
              <w:end w:w="90" w:type="dxa"/>
            </w:tcMar>
          </w:tcPr>
          <w:p>
            <w:pPr>
              <w:spacing w:after="0"/>
            </w:pPr>
            <w:r/>
            <w:r>
              <w:rPr>
                <w:rFonts w:ascii="Carlito" w:hAnsi="Carlito" w:eastAsia="Carlito"/>
                <w:b w:val="0"/>
                <w:color w:val="243447"/>
                <w:sz w:val="15"/>
              </w:rPr>
              <w:t>Sites, projets, versions, statuts</w:t>
            </w:r>
          </w:p>
        </w:tc>
        <w:tc>
          <w:tcPr>
            <w:tcW w:type="dxa" w:w="3005"/>
            <w:vAlign w:val="center"/>
            <w:tcMar>
              <w:top w:w="80" w:type="dxa"/>
              <w:start w:w="90" w:type="dxa"/>
              <w:bottom w:w="80" w:type="dxa"/>
              <w:end w:w="90" w:type="dxa"/>
            </w:tcMar>
          </w:tcPr>
          <w:p>
            <w:pPr>
              <w:spacing w:after="0"/>
            </w:pPr>
            <w:r/>
            <w:r>
              <w:rPr>
                <w:rFonts w:ascii="Carlito" w:hAnsi="Carlito" w:eastAsia="Carlito"/>
                <w:b w:val="0"/>
                <w:color w:val="243447"/>
                <w:sz w:val="15"/>
              </w:rPr>
              <w:t>identity, standards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5"/>
              </w:rPr>
              <w:t>assets</w:t>
            </w:r>
          </w:p>
        </w:tc>
        <w:tc>
          <w:tcPr>
            <w:tcW w:type="dxa" w:w="4592"/>
            <w:vAlign w:val="center"/>
            <w:tcMar>
              <w:top w:w="80" w:type="dxa"/>
              <w:start w:w="90" w:type="dxa"/>
              <w:bottom w:w="80" w:type="dxa"/>
              <w:end w:w="90" w:type="dxa"/>
            </w:tcMar>
            <w:shd w:fill="F2F2F2"/>
          </w:tcPr>
          <w:p>
            <w:pPr>
              <w:spacing w:after="0"/>
            </w:pPr>
            <w:r/>
            <w:r>
              <w:rPr>
                <w:rFonts w:ascii="Carlito" w:hAnsi="Carlito" w:eastAsia="Carlito"/>
                <w:b w:val="0"/>
                <w:color w:val="243447"/>
                <w:sz w:val="15"/>
              </w:rPr>
              <w:t>Nœuds, tronçons, stations, équipements</w:t>
            </w:r>
          </w:p>
        </w:tc>
        <w:tc>
          <w:tcPr>
            <w:tcW w:type="dxa" w:w="3005"/>
            <w:vAlign w:val="center"/>
            <w:tcMar>
              <w:top w:w="80" w:type="dxa"/>
              <w:start w:w="90" w:type="dxa"/>
              <w:bottom w:w="80" w:type="dxa"/>
              <w:end w:w="90" w:type="dxa"/>
            </w:tcMar>
            <w:shd w:fill="F2F2F2"/>
          </w:tcPr>
          <w:p>
            <w:pPr>
              <w:spacing w:after="0"/>
            </w:pPr>
            <w:r/>
            <w:r>
              <w:rPr>
                <w:rFonts w:ascii="Carlito" w:hAnsi="Carlito" w:eastAsia="Carlito"/>
                <w:b w:val="0"/>
                <w:color w:val="243447"/>
                <w:sz w:val="15"/>
              </w:rPr>
              <w:t>projects, catalog</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5"/>
              </w:rPr>
              <w:t>catalog</w:t>
            </w:r>
          </w:p>
        </w:tc>
        <w:tc>
          <w:tcPr>
            <w:tcW w:type="dxa" w:w="4592"/>
            <w:vAlign w:val="center"/>
            <w:tcMar>
              <w:top w:w="80" w:type="dxa"/>
              <w:start w:w="90" w:type="dxa"/>
              <w:bottom w:w="80" w:type="dxa"/>
              <w:end w:w="90" w:type="dxa"/>
            </w:tcMar>
          </w:tcPr>
          <w:p>
            <w:pPr>
              <w:spacing w:after="0"/>
            </w:pPr>
            <w:r/>
            <w:r>
              <w:rPr>
                <w:rFonts w:ascii="Carlito" w:hAnsi="Carlito" w:eastAsia="Carlito"/>
                <w:b w:val="0"/>
                <w:color w:val="243447"/>
                <w:sz w:val="15"/>
              </w:rPr>
              <w:t>Pompes, vannes, matériaux, produits</w:t>
            </w:r>
          </w:p>
        </w:tc>
        <w:tc>
          <w:tcPr>
            <w:tcW w:type="dxa" w:w="3005"/>
            <w:vAlign w:val="center"/>
            <w:tcMar>
              <w:top w:w="80" w:type="dxa"/>
              <w:start w:w="90" w:type="dxa"/>
              <w:bottom w:w="80" w:type="dxa"/>
              <w:end w:w="90" w:type="dxa"/>
            </w:tcMar>
          </w:tcPr>
          <w:p>
            <w:pPr>
              <w:spacing w:after="0"/>
            </w:pPr>
            <w:r/>
            <w:r>
              <w:rPr>
                <w:rFonts w:ascii="Carlito" w:hAnsi="Carlito" w:eastAsia="Carlito"/>
                <w:b w:val="0"/>
                <w:color w:val="243447"/>
                <w:sz w:val="15"/>
              </w:rPr>
              <w:t>shared</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5"/>
              </w:rPr>
              <w:t>standards</w:t>
            </w:r>
          </w:p>
        </w:tc>
        <w:tc>
          <w:tcPr>
            <w:tcW w:type="dxa" w:w="4592"/>
            <w:vAlign w:val="center"/>
            <w:tcMar>
              <w:top w:w="80" w:type="dxa"/>
              <w:start w:w="90" w:type="dxa"/>
              <w:bottom w:w="80" w:type="dxa"/>
              <w:end w:w="90" w:type="dxa"/>
            </w:tcMar>
            <w:shd w:fill="F2F2F2"/>
          </w:tcPr>
          <w:p>
            <w:pPr>
              <w:spacing w:after="0"/>
            </w:pPr>
            <w:r/>
            <w:r>
              <w:rPr>
                <w:rFonts w:ascii="Carlito" w:hAnsi="Carlito" w:eastAsia="Carlito"/>
                <w:b w:val="0"/>
                <w:color w:val="243447"/>
                <w:sz w:val="15"/>
              </w:rPr>
              <w:t>Standards, rule sets, évaluations</w:t>
            </w:r>
          </w:p>
        </w:tc>
        <w:tc>
          <w:tcPr>
            <w:tcW w:type="dxa" w:w="3005"/>
            <w:vAlign w:val="center"/>
            <w:tcMar>
              <w:top w:w="80" w:type="dxa"/>
              <w:start w:w="90" w:type="dxa"/>
              <w:bottom w:w="80" w:type="dxa"/>
              <w:end w:w="90" w:type="dxa"/>
            </w:tcMar>
            <w:shd w:fill="F2F2F2"/>
          </w:tcPr>
          <w:p>
            <w:pPr>
              <w:spacing w:after="0"/>
            </w:pPr>
            <w:r/>
            <w:r>
              <w:rPr>
                <w:rFonts w:ascii="Carlito" w:hAnsi="Carlito" w:eastAsia="Carlito"/>
                <w:b w:val="0"/>
                <w:color w:val="243447"/>
                <w:sz w:val="15"/>
              </w:rPr>
              <w:t>projects, shared</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5"/>
              </w:rPr>
              <w:t>scenarios</w:t>
            </w:r>
          </w:p>
        </w:tc>
        <w:tc>
          <w:tcPr>
            <w:tcW w:type="dxa" w:w="4592"/>
            <w:vAlign w:val="center"/>
            <w:tcMar>
              <w:top w:w="80" w:type="dxa"/>
              <w:start w:w="90" w:type="dxa"/>
              <w:bottom w:w="80" w:type="dxa"/>
              <w:end w:w="90" w:type="dxa"/>
            </w:tcMar>
          </w:tcPr>
          <w:p>
            <w:pPr>
              <w:spacing w:after="0"/>
            </w:pPr>
            <w:r/>
            <w:r>
              <w:rPr>
                <w:rFonts w:ascii="Carlito" w:hAnsi="Carlito" w:eastAsia="Carlito"/>
                <w:b w:val="0"/>
                <w:color w:val="243447"/>
                <w:sz w:val="15"/>
              </w:rPr>
              <w:t>Conditions, overrides, comparaison</w:t>
            </w:r>
          </w:p>
        </w:tc>
        <w:tc>
          <w:tcPr>
            <w:tcW w:type="dxa" w:w="3005"/>
            <w:vAlign w:val="center"/>
            <w:tcMar>
              <w:top w:w="80" w:type="dxa"/>
              <w:start w:w="90" w:type="dxa"/>
              <w:bottom w:w="80" w:type="dxa"/>
              <w:end w:w="90" w:type="dxa"/>
            </w:tcMar>
          </w:tcPr>
          <w:p>
            <w:pPr>
              <w:spacing w:after="0"/>
            </w:pPr>
            <w:r/>
            <w:r>
              <w:rPr>
                <w:rFonts w:ascii="Carlito" w:hAnsi="Carlito" w:eastAsia="Carlito"/>
                <w:b w:val="0"/>
                <w:color w:val="243447"/>
                <w:sz w:val="15"/>
              </w:rPr>
              <w:t>projects, assets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5"/>
              </w:rPr>
              <w:t>physics</w:t>
            </w:r>
          </w:p>
        </w:tc>
        <w:tc>
          <w:tcPr>
            <w:tcW w:type="dxa" w:w="4592"/>
            <w:vAlign w:val="center"/>
            <w:tcMar>
              <w:top w:w="80" w:type="dxa"/>
              <w:start w:w="90" w:type="dxa"/>
              <w:bottom w:w="80" w:type="dxa"/>
              <w:end w:w="90" w:type="dxa"/>
            </w:tcMar>
            <w:shd w:fill="F2F2F2"/>
          </w:tcPr>
          <w:p>
            <w:pPr>
              <w:spacing w:after="0"/>
            </w:pPr>
            <w:r/>
            <w:r>
              <w:rPr>
                <w:rFonts w:ascii="Carlito" w:hAnsi="Carlito" w:eastAsia="Carlito"/>
                <w:b w:val="0"/>
                <w:color w:val="243447"/>
                <w:sz w:val="15"/>
              </w:rPr>
              <w:t>Modèles et solveurs purs</w:t>
            </w:r>
          </w:p>
        </w:tc>
        <w:tc>
          <w:tcPr>
            <w:tcW w:type="dxa" w:w="3005"/>
            <w:vAlign w:val="center"/>
            <w:tcMar>
              <w:top w:w="80" w:type="dxa"/>
              <w:start w:w="90" w:type="dxa"/>
              <w:bottom w:w="80" w:type="dxa"/>
              <w:end w:w="90" w:type="dxa"/>
            </w:tcMar>
            <w:shd w:fill="F2F2F2"/>
          </w:tcPr>
          <w:p>
            <w:pPr>
              <w:spacing w:after="0"/>
            </w:pPr>
            <w:r/>
            <w:r>
              <w:rPr>
                <w:rFonts w:ascii="Carlito" w:hAnsi="Carlito" w:eastAsia="Carlito"/>
                <w:b w:val="0"/>
                <w:color w:val="243447"/>
                <w:sz w:val="15"/>
              </w:rPr>
              <w:t>catalog scientifique uniquement</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5"/>
              </w:rPr>
              <w:t>calculations</w:t>
            </w:r>
          </w:p>
        </w:tc>
        <w:tc>
          <w:tcPr>
            <w:tcW w:type="dxa" w:w="4592"/>
            <w:vAlign w:val="center"/>
            <w:tcMar>
              <w:top w:w="80" w:type="dxa"/>
              <w:start w:w="90" w:type="dxa"/>
              <w:bottom w:w="80" w:type="dxa"/>
              <w:end w:w="90" w:type="dxa"/>
            </w:tcMar>
          </w:tcPr>
          <w:p>
            <w:pPr>
              <w:spacing w:after="0"/>
            </w:pPr>
            <w:r/>
            <w:r>
              <w:rPr>
                <w:rFonts w:ascii="Carlito" w:hAnsi="Carlito" w:eastAsia="Carlito"/>
                <w:b w:val="0"/>
                <w:color w:val="243447"/>
                <w:sz w:val="15"/>
              </w:rPr>
              <w:t>Orchestration, tâches, résultats</w:t>
            </w:r>
          </w:p>
        </w:tc>
        <w:tc>
          <w:tcPr>
            <w:tcW w:type="dxa" w:w="3005"/>
            <w:vAlign w:val="center"/>
            <w:tcMar>
              <w:top w:w="80" w:type="dxa"/>
              <w:start w:w="90" w:type="dxa"/>
              <w:bottom w:w="80" w:type="dxa"/>
              <w:end w:w="90" w:type="dxa"/>
            </w:tcMar>
          </w:tcPr>
          <w:p>
            <w:pPr>
              <w:spacing w:after="0"/>
            </w:pPr>
            <w:r/>
            <w:r>
              <w:rPr>
                <w:rFonts w:ascii="Carlito" w:hAnsi="Carlito" w:eastAsia="Carlito"/>
                <w:b w:val="0"/>
                <w:color w:val="243447"/>
                <w:sz w:val="15"/>
              </w:rPr>
              <w:t>physics, scenarios, standards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5"/>
              </w:rPr>
              <w:t>tanks</w:t>
            </w:r>
          </w:p>
        </w:tc>
        <w:tc>
          <w:tcPr>
            <w:tcW w:type="dxa" w:w="4592"/>
            <w:vAlign w:val="center"/>
            <w:tcMar>
              <w:top w:w="80" w:type="dxa"/>
              <w:start w:w="90" w:type="dxa"/>
              <w:bottom w:w="80" w:type="dxa"/>
              <w:end w:w="90" w:type="dxa"/>
            </w:tcMar>
            <w:shd w:fill="F2F2F2"/>
          </w:tcPr>
          <w:p>
            <w:pPr>
              <w:spacing w:after="0"/>
            </w:pPr>
            <w:r/>
            <w:r>
              <w:rPr>
                <w:rFonts w:ascii="Carlito" w:hAnsi="Carlito" w:eastAsia="Carlito"/>
                <w:b w:val="0"/>
                <w:color w:val="243447"/>
                <w:sz w:val="15"/>
              </w:rPr>
              <w:t>Stocks, barémages, transferts</w:t>
            </w:r>
          </w:p>
        </w:tc>
        <w:tc>
          <w:tcPr>
            <w:tcW w:type="dxa" w:w="3005"/>
            <w:vAlign w:val="center"/>
            <w:tcMar>
              <w:top w:w="80" w:type="dxa"/>
              <w:start w:w="90" w:type="dxa"/>
              <w:bottom w:w="80" w:type="dxa"/>
              <w:end w:w="90" w:type="dxa"/>
            </w:tcMar>
            <w:shd w:fill="F2F2F2"/>
          </w:tcPr>
          <w:p>
            <w:pPr>
              <w:spacing w:after="0"/>
            </w:pPr>
            <w:r/>
            <w:r>
              <w:rPr>
                <w:rFonts w:ascii="Carlito" w:hAnsi="Carlito" w:eastAsia="Carlito"/>
                <w:b w:val="0"/>
                <w:color w:val="243447"/>
                <w:sz w:val="15"/>
              </w:rPr>
              <w:t>assets, physics</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5"/>
              </w:rPr>
              <w:t>datahub</w:t>
            </w:r>
          </w:p>
        </w:tc>
        <w:tc>
          <w:tcPr>
            <w:tcW w:type="dxa" w:w="4592"/>
            <w:vAlign w:val="center"/>
            <w:tcMar>
              <w:top w:w="80" w:type="dxa"/>
              <w:start w:w="90" w:type="dxa"/>
              <w:bottom w:w="80" w:type="dxa"/>
              <w:end w:w="90" w:type="dxa"/>
            </w:tcMar>
          </w:tcPr>
          <w:p>
            <w:pPr>
              <w:spacing w:after="0"/>
            </w:pPr>
            <w:r/>
            <w:r>
              <w:rPr>
                <w:rFonts w:ascii="Carlito" w:hAnsi="Carlito" w:eastAsia="Carlito"/>
                <w:b w:val="0"/>
                <w:color w:val="243447"/>
                <w:sz w:val="15"/>
              </w:rPr>
              <w:t>Imports, séries, qualité</w:t>
            </w:r>
          </w:p>
        </w:tc>
        <w:tc>
          <w:tcPr>
            <w:tcW w:type="dxa" w:w="3005"/>
            <w:vAlign w:val="center"/>
            <w:tcMar>
              <w:top w:w="80" w:type="dxa"/>
              <w:start w:w="90" w:type="dxa"/>
              <w:bottom w:w="80" w:type="dxa"/>
              <w:end w:w="90" w:type="dxa"/>
            </w:tcMar>
          </w:tcPr>
          <w:p>
            <w:pPr>
              <w:spacing w:after="0"/>
            </w:pPr>
            <w:r/>
            <w:r>
              <w:rPr>
                <w:rFonts w:ascii="Carlito" w:hAnsi="Carlito" w:eastAsia="Carlito"/>
                <w:b w:val="0"/>
                <w:color w:val="243447"/>
                <w:sz w:val="15"/>
              </w:rPr>
              <w:t>projects, assets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5"/>
              </w:rPr>
              <w:t>optimization</w:t>
            </w:r>
          </w:p>
        </w:tc>
        <w:tc>
          <w:tcPr>
            <w:tcW w:type="dxa" w:w="4592"/>
            <w:vAlign w:val="center"/>
            <w:tcMar>
              <w:top w:w="80" w:type="dxa"/>
              <w:start w:w="90" w:type="dxa"/>
              <w:bottom w:w="80" w:type="dxa"/>
              <w:end w:w="90" w:type="dxa"/>
            </w:tcMar>
            <w:shd w:fill="F2F2F2"/>
          </w:tcPr>
          <w:p>
            <w:pPr>
              <w:spacing w:after="0"/>
            </w:pPr>
            <w:r/>
            <w:r>
              <w:rPr>
                <w:rFonts w:ascii="Carlito" w:hAnsi="Carlito" w:eastAsia="Carlito"/>
                <w:b w:val="0"/>
                <w:color w:val="243447"/>
                <w:sz w:val="15"/>
              </w:rPr>
              <w:t>Modèles Pyomo et stratégies</w:t>
            </w:r>
          </w:p>
        </w:tc>
        <w:tc>
          <w:tcPr>
            <w:tcW w:type="dxa" w:w="3005"/>
            <w:vAlign w:val="center"/>
            <w:tcMar>
              <w:top w:w="80" w:type="dxa"/>
              <w:start w:w="90" w:type="dxa"/>
              <w:bottom w:w="80" w:type="dxa"/>
              <w:end w:w="90" w:type="dxa"/>
            </w:tcMar>
            <w:shd w:fill="F2F2F2"/>
          </w:tcPr>
          <w:p>
            <w:pPr>
              <w:spacing w:after="0"/>
            </w:pPr>
            <w:r/>
            <w:r>
              <w:rPr>
                <w:rFonts w:ascii="Carlito" w:hAnsi="Carlito" w:eastAsia="Carlito"/>
                <w:b w:val="0"/>
                <w:color w:val="243447"/>
                <w:sz w:val="15"/>
              </w:rPr>
              <w:t>calculations, scenarios</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5"/>
              </w:rPr>
              <w:t>reports</w:t>
            </w:r>
          </w:p>
        </w:tc>
        <w:tc>
          <w:tcPr>
            <w:tcW w:type="dxa" w:w="4592"/>
            <w:vAlign w:val="center"/>
            <w:tcMar>
              <w:top w:w="80" w:type="dxa"/>
              <w:start w:w="90" w:type="dxa"/>
              <w:bottom w:w="80" w:type="dxa"/>
              <w:end w:w="90" w:type="dxa"/>
            </w:tcMar>
          </w:tcPr>
          <w:p>
            <w:pPr>
              <w:spacing w:after="0"/>
            </w:pPr>
            <w:r/>
            <w:r>
              <w:rPr>
                <w:rFonts w:ascii="Carlito" w:hAnsi="Carlito" w:eastAsia="Carlito"/>
                <w:b w:val="0"/>
                <w:color w:val="243447"/>
                <w:sz w:val="15"/>
              </w:rPr>
              <w:t>Documents, exports, modèles</w:t>
            </w:r>
          </w:p>
        </w:tc>
        <w:tc>
          <w:tcPr>
            <w:tcW w:type="dxa" w:w="3005"/>
            <w:vAlign w:val="center"/>
            <w:tcMar>
              <w:top w:w="80" w:type="dxa"/>
              <w:start w:w="90" w:type="dxa"/>
              <w:bottom w:w="80" w:type="dxa"/>
              <w:end w:w="90" w:type="dxa"/>
            </w:tcMar>
          </w:tcPr>
          <w:p>
            <w:pPr>
              <w:spacing w:after="0"/>
            </w:pPr>
            <w:r/>
            <w:r>
              <w:rPr>
                <w:rFonts w:ascii="Carlito" w:hAnsi="Carlito" w:eastAsia="Carlito"/>
                <w:b w:val="0"/>
                <w:color w:val="243447"/>
                <w:sz w:val="15"/>
              </w:rPr>
              <w:t>tous via services publics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5"/>
              </w:rPr>
              <w:t>audit</w:t>
            </w:r>
          </w:p>
        </w:tc>
        <w:tc>
          <w:tcPr>
            <w:tcW w:type="dxa" w:w="4592"/>
            <w:vAlign w:val="center"/>
            <w:tcMar>
              <w:top w:w="80" w:type="dxa"/>
              <w:start w:w="90" w:type="dxa"/>
              <w:bottom w:w="80" w:type="dxa"/>
              <w:end w:w="90" w:type="dxa"/>
            </w:tcMar>
            <w:shd w:fill="F2F2F2"/>
          </w:tcPr>
          <w:p>
            <w:pPr>
              <w:spacing w:after="0"/>
            </w:pPr>
            <w:r/>
            <w:r>
              <w:rPr>
                <w:rFonts w:ascii="Carlito" w:hAnsi="Carlito" w:eastAsia="Carlito"/>
                <w:b w:val="0"/>
                <w:color w:val="243447"/>
                <w:sz w:val="15"/>
              </w:rPr>
              <w:t>Événements immuables</w:t>
            </w:r>
          </w:p>
        </w:tc>
        <w:tc>
          <w:tcPr>
            <w:tcW w:type="dxa" w:w="3005"/>
            <w:vAlign w:val="center"/>
            <w:tcMar>
              <w:top w:w="80" w:type="dxa"/>
              <w:start w:w="90" w:type="dxa"/>
              <w:bottom w:w="80" w:type="dxa"/>
              <w:end w:w="90" w:type="dxa"/>
            </w:tcMar>
            <w:shd w:fill="F2F2F2"/>
          </w:tcPr>
          <w:p>
            <w:pPr>
              <w:spacing w:after="0"/>
            </w:pPr>
            <w:r/>
            <w:r>
              <w:rPr>
                <w:rFonts w:ascii="Carlito" w:hAnsi="Carlito" w:eastAsia="Carlito"/>
                <w:b w:val="0"/>
                <w:color w:val="243447"/>
                <w:sz w:val="15"/>
              </w:rPr>
              <w:t>transversal</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5"/>
              </w:rPr>
              <w:t>integrations</w:t>
            </w:r>
          </w:p>
        </w:tc>
        <w:tc>
          <w:tcPr>
            <w:tcW w:type="dxa" w:w="4592"/>
            <w:vAlign w:val="center"/>
            <w:tcMar>
              <w:top w:w="80" w:type="dxa"/>
              <w:start w:w="90" w:type="dxa"/>
              <w:bottom w:w="80" w:type="dxa"/>
              <w:end w:w="90" w:type="dxa"/>
            </w:tcMar>
          </w:tcPr>
          <w:p>
            <w:pPr>
              <w:spacing w:after="0"/>
            </w:pPr>
            <w:r/>
            <w:r>
              <w:rPr>
                <w:rFonts w:ascii="Carlito" w:hAnsi="Carlito" w:eastAsia="Carlito"/>
                <w:b w:val="0"/>
                <w:color w:val="243447"/>
                <w:sz w:val="15"/>
              </w:rPr>
              <w:t>Connecteurs externes</w:t>
            </w:r>
          </w:p>
        </w:tc>
        <w:tc>
          <w:tcPr>
            <w:tcW w:type="dxa" w:w="3005"/>
            <w:vAlign w:val="center"/>
            <w:tcMar>
              <w:top w:w="80" w:type="dxa"/>
              <w:start w:w="90" w:type="dxa"/>
              <w:bottom w:w="80" w:type="dxa"/>
              <w:end w:w="90" w:type="dxa"/>
            </w:tcMar>
          </w:tcPr>
          <w:p>
            <w:pPr>
              <w:spacing w:after="0"/>
            </w:pPr>
            <w:r/>
            <w:r>
              <w:rPr>
                <w:rFonts w:ascii="Carlito" w:hAnsi="Carlito" w:eastAsia="Carlito"/>
                <w:b w:val="0"/>
                <w:color w:val="243447"/>
                <w:sz w:val="15"/>
              </w:rPr>
              <w:t>datahub, identity</w:t>
            </w:r>
          </w:p>
        </w:tc>
      </w:tr>
    </w:tbl>
    <w:p>
      <w:pPr>
        <w:spacing w:after="40"/>
      </w:pPr>
    </w:p>
    <w:p>
      <w:pPr>
        <w:pStyle w:val="Heading1"/>
      </w:pPr>
      <w:r>
        <w:t>4. Architecture du noyau scientifique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7"/>
              </w:rPr>
              <w:t>Paquet</w:t>
            </w:r>
          </w:p>
        </w:tc>
        <w:tc>
          <w:tcPr>
            <w:tcW w:type="dxa" w:w="6576"/>
            <w:vAlign w:val="center"/>
            <w:tcMar>
              <w:top w:w="80" w:type="dxa"/>
              <w:start w:w="90" w:type="dxa"/>
              <w:bottom w:w="80" w:type="dxa"/>
              <w:end w:w="90" w:type="dxa"/>
            </w:tcMar>
            <w:shd w:fill="17365D"/>
          </w:tcPr>
          <w:p>
            <w:pPr>
              <w:spacing w:after="0"/>
            </w:pPr>
            <w:r/>
            <w:r>
              <w:rPr>
                <w:rFonts w:ascii="Carlito" w:hAnsi="Carlito" w:eastAsia="Carlito"/>
                <w:b/>
                <w:color w:val="FFFFFF"/>
                <w:sz w:val="17"/>
              </w:rPr>
              <w:t>Contenu</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core.units</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Grandeurs, conversions, validation dimensionnelle</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core.properties</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Interfaces de propriétés, interpolation, corrélations, CoolProp adapter</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core.hydraulics</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Reynolds, frottement, pertes, composants</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core.pumps</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Courbes, ajustements, série/parallèle, vitesse, NPSH</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core.network</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Graphe calculable, assemblage des équations, conditions aux limites</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core.solvers</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Newton, bracketing, continuation, convergence et diagnostics</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core.tanks</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Barémage, inventaire, transfert quasi-stationnaire</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core.rules</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Interface d’évaluation de règles, sans texte normatif intégral</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core.optimization</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Adaptateurs vers Pyomo et énumération</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core.validation</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Cas de référence, comparaisons et tolérances</w:t>
            </w:r>
          </w:p>
        </w:tc>
      </w:tr>
    </w:tbl>
    <w:p>
      <w:pPr>
        <w:spacing w:after="40"/>
      </w:pPr>
    </w:p>
    <w:tbl>
      <w:tblPr>
        <w:tblW w:type="auto" w:w="0"/>
        <w:jc w:val="center"/>
        <w:tblLook w:firstColumn="1" w:firstRow="1" w:lastColumn="0" w:lastRow="0" w:noHBand="0" w:noVBand="1" w:val="04A0"/>
      </w:tblPr>
      <w:tblGrid>
        <w:gridCol w:w="9979"/>
      </w:tblGrid>
      <w:tr>
        <w:tc>
          <w:tcPr>
            <w:tcW w:type="dxa" w:w="9979"/>
            <w:shd w:fill="FFF2CC"/>
            <w:tcMar>
              <w:top w:w="130" w:type="dxa"/>
              <w:start w:w="140" w:type="dxa"/>
              <w:bottom w:w="130" w:type="dxa"/>
              <w:end w:w="140" w:type="dxa"/>
            </w:tcMar>
          </w:tcPr>
          <w:p>
            <w:r/>
            <w:r>
              <w:rPr>
                <w:rFonts w:ascii="Liberation Sans" w:hAnsi="Liberation Sans"/>
                <w:b/>
                <w:color w:val="17365D"/>
                <w:sz w:val="21"/>
              </w:rPr>
              <w:t>Règle de dépendance</w:t>
            </w:r>
          </w:p>
          <w:p>
            <w:pPr>
              <w:spacing w:after="0"/>
            </w:pPr>
            <w:r>
              <w:rPr>
                <w:rFonts w:ascii="Carlito" w:hAnsi="Carlito"/>
                <w:color w:val="243447"/>
                <w:sz w:val="19"/>
              </w:rPr>
              <w:t>Le noyau scientifique ne dépend ni de FastAPI, ni de SQLAlchemy, ni du frontend. Il reçoit des objets typés et retourne des résultats typés. Cette règle est indispensable à la testabilité et à la réutilisation.</w:t>
            </w:r>
          </w:p>
        </w:tc>
      </w:tr>
    </w:tbl>
    <w:p>
      <w:pPr>
        <w:spacing w:after="20"/>
      </w:pPr>
    </w:p>
    <w:p>
      <w:pPr>
        <w:pStyle w:val="Heading1"/>
      </w:pPr>
      <w:r>
        <w:t>5. Frontend</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928"/>
            <w:vAlign w:val="center"/>
            <w:tcMar>
              <w:top w:w="80" w:type="dxa"/>
              <w:start w:w="90" w:type="dxa"/>
              <w:bottom w:w="80" w:type="dxa"/>
              <w:end w:w="90" w:type="dxa"/>
            </w:tcMar>
            <w:shd w:fill="17365D"/>
          </w:tcPr>
          <w:p>
            <w:pPr>
              <w:spacing w:after="0"/>
            </w:pPr>
            <w:r/>
            <w:r>
              <w:rPr>
                <w:rFonts w:ascii="Carlito" w:hAnsi="Carlito" w:eastAsia="Carlito"/>
                <w:b/>
                <w:color w:val="FFFFFF"/>
                <w:sz w:val="16"/>
              </w:rPr>
              <w:t>Zone</w:t>
            </w:r>
          </w:p>
        </w:tc>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6"/>
              </w:rPr>
              <w:t>Choix</w:t>
            </w:r>
          </w:p>
        </w:tc>
        <w:tc>
          <w:tcPr>
            <w:tcW w:type="dxa" w:w="4649"/>
            <w:vAlign w:val="center"/>
            <w:tcMar>
              <w:top w:w="80" w:type="dxa"/>
              <w:start w:w="90" w:type="dxa"/>
              <w:bottom w:w="80" w:type="dxa"/>
              <w:end w:w="90" w:type="dxa"/>
            </w:tcMar>
            <w:shd w:fill="17365D"/>
          </w:tcPr>
          <w:p>
            <w:pPr>
              <w:spacing w:after="0"/>
            </w:pPr>
            <w:r/>
            <w:r>
              <w:rPr>
                <w:rFonts w:ascii="Carlito" w:hAnsi="Carlito" w:eastAsia="Carlito"/>
                <w:b/>
                <w:color w:val="FFFFFF"/>
                <w:sz w:val="16"/>
              </w:rPr>
              <w:t>Notes</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6"/>
              </w:rPr>
              <w:t>Framework</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React + TypeScript</w:t>
            </w:r>
          </w:p>
        </w:tc>
        <w:tc>
          <w:tcPr>
            <w:tcW w:type="dxa" w:w="4649"/>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Composants fonctionnels et typage strict</w:t>
            </w:r>
          </w:p>
        </w:tc>
      </w:tr>
      <w:tr>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6"/>
              </w:rPr>
              <w:t>État serveur</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TanStack Query ou équivalent</w:t>
            </w:r>
          </w:p>
        </w:tc>
        <w:tc>
          <w:tcPr>
            <w:tcW w:type="dxa" w:w="4649"/>
            <w:vAlign w:val="center"/>
            <w:tcMar>
              <w:top w:w="80" w:type="dxa"/>
              <w:start w:w="90" w:type="dxa"/>
              <w:bottom w:w="80" w:type="dxa"/>
              <w:end w:w="90" w:type="dxa"/>
            </w:tcMar>
          </w:tcPr>
          <w:p>
            <w:pPr>
              <w:spacing w:after="0"/>
            </w:pPr>
            <w:r/>
            <w:r>
              <w:rPr>
                <w:rFonts w:ascii="Carlito" w:hAnsi="Carlito" w:eastAsia="Carlito"/>
                <w:b w:val="0"/>
                <w:color w:val="243447"/>
                <w:sz w:val="16"/>
              </w:rPr>
              <w:t>Cache, erreurs, invalidation</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6"/>
              </w:rPr>
              <w:t>Formulaires</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React Hook Form + schémas partagés</w:t>
            </w:r>
          </w:p>
        </w:tc>
        <w:tc>
          <w:tcPr>
            <w:tcW w:type="dxa" w:w="4649"/>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Validation claire et unités</w:t>
            </w:r>
          </w:p>
        </w:tc>
      </w:tr>
      <w:tr>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6"/>
              </w:rPr>
              <w:t>Schéma réseau</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Bibliothèque de graphe à évaluer</w:t>
            </w:r>
          </w:p>
        </w:tc>
        <w:tc>
          <w:tcPr>
            <w:tcW w:type="dxa" w:w="4649"/>
            <w:vAlign w:val="center"/>
            <w:tcMar>
              <w:top w:w="80" w:type="dxa"/>
              <w:start w:w="90" w:type="dxa"/>
              <w:bottom w:w="80" w:type="dxa"/>
              <w:end w:w="90" w:type="dxa"/>
            </w:tcMar>
          </w:tcPr>
          <w:p>
            <w:pPr>
              <w:spacing w:after="0"/>
            </w:pPr>
            <w:r/>
            <w:r>
              <w:rPr>
                <w:rFonts w:ascii="Carlito" w:hAnsi="Carlito" w:eastAsia="Carlito"/>
                <w:b w:val="0"/>
                <w:color w:val="243447"/>
                <w:sz w:val="16"/>
              </w:rPr>
              <w:t>Éditeur contrôlé, pas de logique scientifique côté client</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6"/>
              </w:rPr>
              <w:t>Cartographie</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MapLibre GL</w:t>
            </w:r>
          </w:p>
        </w:tc>
        <w:tc>
          <w:tcPr>
            <w:tcW w:type="dxa" w:w="4649"/>
            <w:vAlign w:val="center"/>
            <w:tcMar>
              <w:top w:w="80" w:type="dxa"/>
              <w:start w:w="90" w:type="dxa"/>
              <w:bottom w:w="80" w:type="dxa"/>
              <w:end w:w="90" w:type="dxa"/>
            </w:tcMar>
            <w:shd w:fill="F2F2F2"/>
          </w:tcPr>
          <w:p>
            <w:pPr>
              <w:spacing w:after="0"/>
            </w:pPr>
            <w:r/>
            <w:r>
              <w:rPr>
                <w:rFonts w:ascii="Carlito" w:hAnsi="Carlito" w:eastAsia="Carlito"/>
                <w:b w:val="0"/>
                <w:color w:val="243447"/>
                <w:sz w:val="16"/>
              </w:rPr>
              <w:t>Open source, couches et tracés</w:t>
            </w:r>
          </w:p>
        </w:tc>
      </w:tr>
      <w:tr>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6"/>
              </w:rPr>
              <w:t>Graphiques</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Apache ECharts ou Plotly</w:t>
            </w:r>
          </w:p>
        </w:tc>
        <w:tc>
          <w:tcPr>
            <w:tcW w:type="dxa" w:w="4649"/>
            <w:vAlign w:val="center"/>
            <w:tcMar>
              <w:top w:w="80" w:type="dxa"/>
              <w:start w:w="90" w:type="dxa"/>
              <w:bottom w:w="80" w:type="dxa"/>
              <w:end w:w="90" w:type="dxa"/>
            </w:tcMar>
          </w:tcPr>
          <w:p>
            <w:pPr>
              <w:spacing w:after="0"/>
            </w:pPr>
            <w:r/>
            <w:r>
              <w:rPr>
                <w:rFonts w:ascii="Carlito" w:hAnsi="Carlito" w:eastAsia="Carlito"/>
                <w:b w:val="0"/>
                <w:color w:val="243447"/>
                <w:sz w:val="16"/>
              </w:rPr>
              <w:t>Profils, séries, courbes pompe</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6"/>
              </w:rPr>
              <w:t>Design system</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Composants internes sobres</w:t>
            </w:r>
          </w:p>
        </w:tc>
        <w:tc>
          <w:tcPr>
            <w:tcW w:type="dxa" w:w="4649"/>
            <w:vAlign w:val="center"/>
            <w:tcMar>
              <w:top w:w="80" w:type="dxa"/>
              <w:start w:w="90" w:type="dxa"/>
              <w:bottom w:w="80" w:type="dxa"/>
              <w:end w:w="90" w:type="dxa"/>
            </w:tcMar>
            <w:shd w:fill="F2F2F2"/>
          </w:tcPr>
          <w:p>
            <w:pPr>
              <w:spacing w:after="0"/>
            </w:pPr>
            <w:r/>
            <w:r>
              <w:rPr>
                <w:rFonts w:ascii="Carlito" w:hAnsi="Carlito" w:eastAsia="Carlito"/>
                <w:b w:val="0"/>
                <w:color w:val="243447"/>
                <w:sz w:val="16"/>
              </w:rPr>
              <w:t>Accessibilité, densité adaptée aux ingénieurs</w:t>
            </w:r>
          </w:p>
        </w:tc>
      </w:tr>
      <w:tr>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6"/>
              </w:rPr>
              <w:t>Internationalisation</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i18next ou équivalent</w:t>
            </w:r>
          </w:p>
        </w:tc>
        <w:tc>
          <w:tcPr>
            <w:tcW w:type="dxa" w:w="4649"/>
            <w:vAlign w:val="center"/>
            <w:tcMar>
              <w:top w:w="80" w:type="dxa"/>
              <w:start w:w="90" w:type="dxa"/>
              <w:bottom w:w="80" w:type="dxa"/>
              <w:end w:w="90" w:type="dxa"/>
            </w:tcMar>
          </w:tcPr>
          <w:p>
            <w:pPr>
              <w:spacing w:after="0"/>
            </w:pPr>
            <w:r/>
            <w:r>
              <w:rPr>
                <w:rFonts w:ascii="Carlito" w:hAnsi="Carlito" w:eastAsia="Carlito"/>
                <w:b w:val="0"/>
                <w:color w:val="243447"/>
                <w:sz w:val="16"/>
              </w:rPr>
              <w:t>Français d’abord</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6"/>
              </w:rPr>
              <w:t>Exports</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Téléchargements via API</w:t>
            </w:r>
          </w:p>
        </w:tc>
        <w:tc>
          <w:tcPr>
            <w:tcW w:type="dxa" w:w="4649"/>
            <w:vAlign w:val="center"/>
            <w:tcMar>
              <w:top w:w="80" w:type="dxa"/>
              <w:start w:w="90" w:type="dxa"/>
              <w:bottom w:w="80" w:type="dxa"/>
              <w:end w:w="90" w:type="dxa"/>
            </w:tcMar>
            <w:shd w:fill="F2F2F2"/>
          </w:tcPr>
          <w:p>
            <w:pPr>
              <w:spacing w:after="0"/>
            </w:pPr>
            <w:r/>
            <w:r>
              <w:rPr>
                <w:rFonts w:ascii="Carlito" w:hAnsi="Carlito" w:eastAsia="Carlito"/>
                <w:b w:val="0"/>
                <w:color w:val="243447"/>
                <w:sz w:val="16"/>
              </w:rPr>
              <w:t>Traçabilité et permissions</w:t>
            </w:r>
          </w:p>
        </w:tc>
      </w:tr>
    </w:tbl>
    <w:p>
      <w:pPr>
        <w:spacing w:after="40"/>
      </w:pPr>
    </w:p>
    <w:p>
      <w:pPr>
        <w:pStyle w:val="Heading1"/>
      </w:pPr>
      <w:r>
        <w:t>6. Backend et API</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71"/>
            <w:vAlign w:val="center"/>
            <w:tcMar>
              <w:top w:w="80" w:type="dxa"/>
              <w:start w:w="90" w:type="dxa"/>
              <w:bottom w:w="80" w:type="dxa"/>
              <w:end w:w="90" w:type="dxa"/>
            </w:tcMar>
            <w:shd w:fill="17365D"/>
          </w:tcPr>
          <w:p>
            <w:pPr>
              <w:spacing w:after="0"/>
            </w:pPr>
            <w:r/>
            <w:r>
              <w:rPr>
                <w:rFonts w:ascii="Carlito" w:hAnsi="Carlito" w:eastAsia="Carlito"/>
                <w:b/>
                <w:color w:val="FFFFFF"/>
                <w:sz w:val="16"/>
              </w:rPr>
              <w:t>Composant</w:t>
            </w:r>
          </w:p>
        </w:tc>
        <w:tc>
          <w:tcPr>
            <w:tcW w:type="dxa" w:w="3061"/>
            <w:vAlign w:val="center"/>
            <w:tcMar>
              <w:top w:w="80" w:type="dxa"/>
              <w:start w:w="90" w:type="dxa"/>
              <w:bottom w:w="80" w:type="dxa"/>
              <w:end w:w="90" w:type="dxa"/>
            </w:tcMar>
            <w:shd w:fill="17365D"/>
          </w:tcPr>
          <w:p>
            <w:pPr>
              <w:spacing w:after="0"/>
            </w:pPr>
            <w:r/>
            <w:r>
              <w:rPr>
                <w:rFonts w:ascii="Carlito" w:hAnsi="Carlito" w:eastAsia="Carlito"/>
                <w:b/>
                <w:color w:val="FFFFFF"/>
                <w:sz w:val="16"/>
              </w:rPr>
              <w:t>Choix</w:t>
            </w:r>
          </w:p>
        </w:tc>
        <w:tc>
          <w:tcPr>
            <w:tcW w:type="dxa" w:w="4479"/>
            <w:vAlign w:val="center"/>
            <w:tcMar>
              <w:top w:w="80" w:type="dxa"/>
              <w:start w:w="90" w:type="dxa"/>
              <w:bottom w:w="80" w:type="dxa"/>
              <w:end w:w="90" w:type="dxa"/>
            </w:tcMar>
            <w:shd w:fill="17365D"/>
          </w:tcPr>
          <w:p>
            <w:pPr>
              <w:spacing w:after="0"/>
            </w:pPr>
            <w:r/>
            <w:r>
              <w:rPr>
                <w:rFonts w:ascii="Carlito" w:hAnsi="Carlito" w:eastAsia="Carlito"/>
                <w:b/>
                <w:color w:val="FFFFFF"/>
                <w:sz w:val="16"/>
              </w:rPr>
              <w:t>Rôle</w:t>
            </w:r>
          </w:p>
        </w:tc>
      </w:tr>
      <w:tr>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6"/>
              </w:rPr>
              <w:t>Serveur</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FastAPI + Uvicorn/Gunicorn</w:t>
            </w:r>
          </w:p>
        </w:tc>
        <w:tc>
          <w:tcPr>
            <w:tcW w:type="dxa" w:w="4479"/>
            <w:vAlign w:val="center"/>
            <w:tcMar>
              <w:top w:w="80" w:type="dxa"/>
              <w:start w:w="90" w:type="dxa"/>
              <w:bottom w:w="80" w:type="dxa"/>
              <w:end w:w="90" w:type="dxa"/>
            </w:tcMar>
            <w:shd w:fill="F2F2F2"/>
          </w:tcPr>
          <w:p>
            <w:pPr>
              <w:spacing w:after="0"/>
            </w:pPr>
            <w:r/>
            <w:r>
              <w:rPr>
                <w:rFonts w:ascii="Carlito" w:hAnsi="Carlito" w:eastAsia="Carlito"/>
                <w:b w:val="0"/>
                <w:color w:val="243447"/>
                <w:sz w:val="16"/>
              </w:rPr>
              <w:t>API HTTP et OpenAPI</w:t>
            </w:r>
          </w:p>
        </w:tc>
      </w:tr>
      <w:tr>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6"/>
              </w:rPr>
              <w:t>Modèles API</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Pydantic</w:t>
            </w:r>
          </w:p>
        </w:tc>
        <w:tc>
          <w:tcPr>
            <w:tcW w:type="dxa" w:w="4479"/>
            <w:vAlign w:val="center"/>
            <w:tcMar>
              <w:top w:w="80" w:type="dxa"/>
              <w:start w:w="90" w:type="dxa"/>
              <w:bottom w:w="80" w:type="dxa"/>
              <w:end w:w="90" w:type="dxa"/>
            </w:tcMar>
          </w:tcPr>
          <w:p>
            <w:pPr>
              <w:spacing w:after="0"/>
            </w:pPr>
            <w:r/>
            <w:r>
              <w:rPr>
                <w:rFonts w:ascii="Carlito" w:hAnsi="Carlito" w:eastAsia="Carlito"/>
                <w:b w:val="0"/>
                <w:color w:val="243447"/>
                <w:sz w:val="16"/>
              </w:rPr>
              <w:t>Validation et sérialisation</w:t>
            </w:r>
          </w:p>
        </w:tc>
      </w:tr>
      <w:tr>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6"/>
              </w:rPr>
              <w:t>ORM</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SQLAlchemy 2.x</w:t>
            </w:r>
          </w:p>
        </w:tc>
        <w:tc>
          <w:tcPr>
            <w:tcW w:type="dxa" w:w="4479"/>
            <w:vAlign w:val="center"/>
            <w:tcMar>
              <w:top w:w="80" w:type="dxa"/>
              <w:start w:w="90" w:type="dxa"/>
              <w:bottom w:w="80" w:type="dxa"/>
              <w:end w:w="90" w:type="dxa"/>
            </w:tcMar>
            <w:shd w:fill="F2F2F2"/>
          </w:tcPr>
          <w:p>
            <w:pPr>
              <w:spacing w:after="0"/>
            </w:pPr>
            <w:r/>
            <w:r>
              <w:rPr>
                <w:rFonts w:ascii="Carlito" w:hAnsi="Carlito" w:eastAsia="Carlito"/>
                <w:b w:val="0"/>
                <w:color w:val="243447"/>
                <w:sz w:val="16"/>
              </w:rPr>
              <w:t>Accès PostgreSQL</w:t>
            </w:r>
          </w:p>
        </w:tc>
      </w:tr>
      <w:tr>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6"/>
              </w:rPr>
              <w:t>Migrations</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Alembic</w:t>
            </w:r>
          </w:p>
        </w:tc>
        <w:tc>
          <w:tcPr>
            <w:tcW w:type="dxa" w:w="4479"/>
            <w:vAlign w:val="center"/>
            <w:tcMar>
              <w:top w:w="80" w:type="dxa"/>
              <w:start w:w="90" w:type="dxa"/>
              <w:bottom w:w="80" w:type="dxa"/>
              <w:end w:w="90" w:type="dxa"/>
            </w:tcMar>
          </w:tcPr>
          <w:p>
            <w:pPr>
              <w:spacing w:after="0"/>
            </w:pPr>
            <w:r/>
            <w:r>
              <w:rPr>
                <w:rFonts w:ascii="Carlito" w:hAnsi="Carlito" w:eastAsia="Carlito"/>
                <w:b w:val="0"/>
                <w:color w:val="243447"/>
                <w:sz w:val="16"/>
              </w:rPr>
              <w:t>Évolution versionnée</w:t>
            </w:r>
          </w:p>
        </w:tc>
      </w:tr>
      <w:tr>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6"/>
              </w:rPr>
              <w:t>Auth</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OIDC futur ou auth interne initiale</w:t>
            </w:r>
          </w:p>
        </w:tc>
        <w:tc>
          <w:tcPr>
            <w:tcW w:type="dxa" w:w="4479"/>
            <w:vAlign w:val="center"/>
            <w:tcMar>
              <w:top w:w="80" w:type="dxa"/>
              <w:start w:w="90" w:type="dxa"/>
              <w:bottom w:w="80" w:type="dxa"/>
              <w:end w:w="90" w:type="dxa"/>
            </w:tcMar>
            <w:shd w:fill="F2F2F2"/>
          </w:tcPr>
          <w:p>
            <w:pPr>
              <w:spacing w:after="0"/>
            </w:pPr>
            <w:r/>
            <w:r>
              <w:rPr>
                <w:rFonts w:ascii="Carlito" w:hAnsi="Carlito" w:eastAsia="Carlito"/>
                <w:b w:val="0"/>
                <w:color w:val="243447"/>
                <w:sz w:val="16"/>
              </w:rPr>
              <w:t>JWT court + sessions/refresh contrôlés</w:t>
            </w:r>
          </w:p>
        </w:tc>
      </w:tr>
      <w:tr>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6"/>
              </w:rPr>
              <w:t>Permissions</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Service RBAC</w:t>
            </w:r>
          </w:p>
        </w:tc>
        <w:tc>
          <w:tcPr>
            <w:tcW w:type="dxa" w:w="4479"/>
            <w:vAlign w:val="center"/>
            <w:tcMar>
              <w:top w:w="80" w:type="dxa"/>
              <w:start w:w="90" w:type="dxa"/>
              <w:bottom w:w="80" w:type="dxa"/>
              <w:end w:w="90" w:type="dxa"/>
            </w:tcMar>
          </w:tcPr>
          <w:p>
            <w:pPr>
              <w:spacing w:after="0"/>
            </w:pPr>
            <w:r/>
            <w:r>
              <w:rPr>
                <w:rFonts w:ascii="Carlito" w:hAnsi="Carlito" w:eastAsia="Carlito"/>
                <w:b w:val="0"/>
                <w:color w:val="243447"/>
                <w:sz w:val="16"/>
              </w:rPr>
              <w:t>Décisions centralisées</w:t>
            </w:r>
          </w:p>
        </w:tc>
      </w:tr>
      <w:tr>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6"/>
              </w:rPr>
              <w:t>Fichiers</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Interface Storage</w:t>
            </w:r>
          </w:p>
        </w:tc>
        <w:tc>
          <w:tcPr>
            <w:tcW w:type="dxa" w:w="4479"/>
            <w:vAlign w:val="center"/>
            <w:tcMar>
              <w:top w:w="80" w:type="dxa"/>
              <w:start w:w="90" w:type="dxa"/>
              <w:bottom w:w="80" w:type="dxa"/>
              <w:end w:w="90" w:type="dxa"/>
            </w:tcMar>
            <w:shd w:fill="F2F2F2"/>
          </w:tcPr>
          <w:p>
            <w:pPr>
              <w:spacing w:after="0"/>
            </w:pPr>
            <w:r/>
            <w:r>
              <w:rPr>
                <w:rFonts w:ascii="Carlito" w:hAnsi="Carlito" w:eastAsia="Carlito"/>
                <w:b w:val="0"/>
                <w:color w:val="243447"/>
                <w:sz w:val="16"/>
              </w:rPr>
              <w:t>Local, S3 ou MinIO</w:t>
            </w:r>
          </w:p>
        </w:tc>
      </w:tr>
      <w:tr>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6"/>
              </w:rPr>
              <w:t>Rapports</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python-docx + moteur PDF contrôlé</w:t>
            </w:r>
          </w:p>
        </w:tc>
        <w:tc>
          <w:tcPr>
            <w:tcW w:type="dxa" w:w="4479"/>
            <w:vAlign w:val="center"/>
            <w:tcMar>
              <w:top w:w="80" w:type="dxa"/>
              <w:start w:w="90" w:type="dxa"/>
              <w:bottom w:w="80" w:type="dxa"/>
              <w:end w:w="90" w:type="dxa"/>
            </w:tcMar>
          </w:tcPr>
          <w:p>
            <w:pPr>
              <w:spacing w:after="0"/>
            </w:pPr>
            <w:r/>
            <w:r>
              <w:rPr>
                <w:rFonts w:ascii="Carlito" w:hAnsi="Carlito" w:eastAsia="Carlito"/>
                <w:b w:val="0"/>
                <w:color w:val="243447"/>
                <w:sz w:val="16"/>
              </w:rPr>
              <w:t>Templates et exports</w:t>
            </w:r>
          </w:p>
        </w:tc>
      </w:tr>
      <w:tr>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6"/>
              </w:rPr>
              <w:t>Configuration</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Variables d’environnement et fichiers versionnés</w:t>
            </w:r>
          </w:p>
        </w:tc>
        <w:tc>
          <w:tcPr>
            <w:tcW w:type="dxa" w:w="4479"/>
            <w:vAlign w:val="center"/>
            <w:tcMar>
              <w:top w:w="80" w:type="dxa"/>
              <w:start w:w="90" w:type="dxa"/>
              <w:bottom w:w="80" w:type="dxa"/>
              <w:end w:w="90" w:type="dxa"/>
            </w:tcMar>
            <w:shd w:fill="F2F2F2"/>
          </w:tcPr>
          <w:p>
            <w:pPr>
              <w:spacing w:after="0"/>
            </w:pPr>
            <w:r/>
            <w:r>
              <w:rPr>
                <w:rFonts w:ascii="Carlito" w:hAnsi="Carlito" w:eastAsia="Carlito"/>
                <w:b w:val="0"/>
                <w:color w:val="243447"/>
                <w:sz w:val="16"/>
              </w:rPr>
              <w:t>Séparation des environnements</w:t>
            </w:r>
          </w:p>
        </w:tc>
      </w:tr>
    </w:tbl>
    <w:p>
      <w:pPr>
        <w:spacing w:after="40"/>
      </w:pPr>
    </w:p>
    <w:p>
      <w:pPr>
        <w:pStyle w:val="Heading1"/>
      </w:pPr>
      <w:r>
        <w:t>7. Tâches longues et orchestration</w:t>
      </w:r>
    </w:p>
    <w:p>
      <w:r>
        <w:rPr>
          <w:i w:val="0"/>
        </w:rPr>
        <w:t>Le MVP doit permettre l’exécution asynchrone sans imposer une infrastructure complexe. Une abstraction JobQueue sera créée. Le premier déploiement peut utiliser Dramatiq, Celery, RQ ou un worker PostgreSQL selon la preuve de concept. Le choix final doit privilégier robustesse, visibilité et faible charge d’exploitation.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7"/>
              </w:rPr>
              <w:t>Type de tâche</w:t>
            </w:r>
          </w:p>
        </w:tc>
        <w:tc>
          <w:tcPr>
            <w:tcW w:type="dxa" w:w="7143"/>
            <w:vAlign w:val="center"/>
            <w:tcMar>
              <w:top w:w="80" w:type="dxa"/>
              <w:start w:w="90" w:type="dxa"/>
              <w:bottom w:w="80" w:type="dxa"/>
              <w:end w:w="90" w:type="dxa"/>
            </w:tcMar>
            <w:shd w:fill="17365D"/>
          </w:tcPr>
          <w:p>
            <w:pPr>
              <w:spacing w:after="0"/>
            </w:pPr>
            <w:r/>
            <w:r>
              <w:rPr>
                <w:rFonts w:ascii="Carlito" w:hAnsi="Carlito" w:eastAsia="Carlito"/>
                <w:b/>
                <w:color w:val="FFFFFF"/>
                <w:sz w:val="17"/>
              </w:rPr>
              <w:t>Propriétés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Calcul hydraulique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Idempotent, annulable si possible, journal scientifique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Optimisation</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Durée longue, progression, meilleur résultat intermédiaire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Import</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Validation, reprise, rapport d’erreurs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Rapport</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Reproductible depuis calculation_id</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Calibration future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Version des données et des paramètres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Synchronisation future</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Checkpoint et déduplication</w:t>
            </w:r>
          </w:p>
        </w:tc>
      </w:tr>
    </w:tbl>
    <w:p>
      <w:pPr>
        <w:spacing w:after="40"/>
      </w:pPr>
    </w:p>
    <w:p>
      <w:pPr>
        <w:pStyle w:val="Heading1"/>
      </w:pPr>
      <w:r>
        <w:t>8. Stockage et persistance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Donnée</w:t>
            </w:r>
          </w:p>
        </w:tc>
        <w:tc>
          <w:tcPr>
            <w:tcW w:type="dxa" w:w="3061"/>
            <w:vAlign w:val="center"/>
            <w:tcMar>
              <w:top w:w="80" w:type="dxa"/>
              <w:start w:w="90" w:type="dxa"/>
              <w:bottom w:w="80" w:type="dxa"/>
              <w:end w:w="90" w:type="dxa"/>
            </w:tcMar>
            <w:shd w:fill="17365D"/>
          </w:tcPr>
          <w:p>
            <w:pPr>
              <w:spacing w:after="0"/>
            </w:pPr>
            <w:r/>
            <w:r>
              <w:rPr>
                <w:rFonts w:ascii="Carlito" w:hAnsi="Carlito" w:eastAsia="Carlito"/>
                <w:b/>
                <w:color w:val="FFFFFF"/>
                <w:sz w:val="16"/>
              </w:rPr>
              <w:t>Stockage recommandé</w:t>
            </w:r>
          </w:p>
        </w:tc>
        <w:tc>
          <w:tcPr>
            <w:tcW w:type="dxa" w:w="4082"/>
            <w:vAlign w:val="center"/>
            <w:tcMar>
              <w:top w:w="80" w:type="dxa"/>
              <w:start w:w="90" w:type="dxa"/>
              <w:bottom w:w="80" w:type="dxa"/>
              <w:end w:w="90" w:type="dxa"/>
            </w:tcMar>
            <w:shd w:fill="17365D"/>
          </w:tcPr>
          <w:p>
            <w:pPr>
              <w:spacing w:after="0"/>
            </w:pPr>
            <w:r/>
            <w:r>
              <w:rPr>
                <w:rFonts w:ascii="Carlito" w:hAnsi="Carlito" w:eastAsia="Carlito"/>
                <w:b/>
                <w:color w:val="FFFFFF"/>
                <w:sz w:val="16"/>
              </w:rPr>
              <w:t>Motif</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Métadonnées/projets</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PostgreSQL</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Transactions et contraintes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Géométries</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PostGIS</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Index spatial et fonctions SIG</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Résultats structurés</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PostgreSQL + JSONB ciblé</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Requêtes et extensibilité</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Profils/résultats massifs</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Tables normalisées ou fichiers Parquet futurs</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Performance et réutilisation</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Imports originaux</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Stockage objet</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Immutabilité et traçabilité</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Rapports</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Stockage objet</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Version et téléchargement</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Séries temporelles MVP</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PostgreSQL partitionné</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Simplicité</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Historian futur</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TimescaleDB ou IoTDB après benchmark</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Volume industriel</w:t>
            </w:r>
          </w:p>
        </w:tc>
      </w:tr>
    </w:tbl>
    <w:p>
      <w:pPr>
        <w:spacing w:after="40"/>
      </w:pPr>
    </w:p>
    <w:p>
      <w:pPr>
        <w:pStyle w:val="Heading1"/>
      </w:pPr>
      <w:r>
        <w:t>9. Architecture de déploiement MVP</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928"/>
            <w:vAlign w:val="center"/>
            <w:tcMar>
              <w:top w:w="80" w:type="dxa"/>
              <w:start w:w="90" w:type="dxa"/>
              <w:bottom w:w="80" w:type="dxa"/>
              <w:end w:w="90" w:type="dxa"/>
            </w:tcMar>
            <w:shd w:fill="17365D"/>
          </w:tcPr>
          <w:p>
            <w:pPr>
              <w:spacing w:after="0"/>
            </w:pPr>
            <w:r/>
            <w:r>
              <w:rPr>
                <w:rFonts w:ascii="Carlito" w:hAnsi="Carlito" w:eastAsia="Carlito"/>
                <w:b/>
                <w:color w:val="FFFFFF"/>
                <w:sz w:val="16"/>
              </w:rPr>
              <w:t>Service</w:t>
            </w:r>
          </w:p>
        </w:tc>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6"/>
              </w:rPr>
              <w:t>Conteneur</w:t>
            </w:r>
          </w:p>
        </w:tc>
        <w:tc>
          <w:tcPr>
            <w:tcW w:type="dxa" w:w="4649"/>
            <w:vAlign w:val="center"/>
            <w:tcMar>
              <w:top w:w="80" w:type="dxa"/>
              <w:start w:w="90" w:type="dxa"/>
              <w:bottom w:w="80" w:type="dxa"/>
              <w:end w:w="90" w:type="dxa"/>
            </w:tcMar>
            <w:shd w:fill="17365D"/>
          </w:tcPr>
          <w:p>
            <w:pPr>
              <w:spacing w:after="0"/>
            </w:pPr>
            <w:r/>
            <w:r>
              <w:rPr>
                <w:rFonts w:ascii="Carlito" w:hAnsi="Carlito" w:eastAsia="Carlito"/>
                <w:b/>
                <w:color w:val="FFFFFF"/>
                <w:sz w:val="16"/>
              </w:rPr>
              <w:t>Ressources indicatives</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6"/>
              </w:rPr>
              <w:t>reverse-proxy</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Nginx/Caddy</w:t>
            </w:r>
          </w:p>
        </w:tc>
        <w:tc>
          <w:tcPr>
            <w:tcW w:type="dxa" w:w="4649"/>
            <w:vAlign w:val="center"/>
            <w:tcMar>
              <w:top w:w="80" w:type="dxa"/>
              <w:start w:w="90" w:type="dxa"/>
              <w:bottom w:w="80" w:type="dxa"/>
              <w:end w:w="90" w:type="dxa"/>
            </w:tcMar>
            <w:shd w:fill="F2F2F2"/>
          </w:tcPr>
          <w:p>
            <w:pPr>
              <w:spacing w:after="0"/>
            </w:pPr>
            <w:r/>
            <w:r>
              <w:rPr>
                <w:rFonts w:ascii="Carlito" w:hAnsi="Carlito" w:eastAsia="Carlito"/>
                <w:b w:val="0"/>
                <w:color w:val="243447"/>
                <w:sz w:val="16"/>
              </w:rPr>
              <w:t>TLS, compression, routage</w:t>
            </w:r>
          </w:p>
        </w:tc>
      </w:tr>
      <w:tr>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6"/>
              </w:rPr>
              <w:t>frontend</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Static web</w:t>
            </w:r>
          </w:p>
        </w:tc>
        <w:tc>
          <w:tcPr>
            <w:tcW w:type="dxa" w:w="4649"/>
            <w:vAlign w:val="center"/>
            <w:tcMar>
              <w:top w:w="80" w:type="dxa"/>
              <w:start w:w="90" w:type="dxa"/>
              <w:bottom w:w="80" w:type="dxa"/>
              <w:end w:w="90" w:type="dxa"/>
            </w:tcMar>
          </w:tcPr>
          <w:p>
            <w:pPr>
              <w:spacing w:after="0"/>
            </w:pPr>
            <w:r/>
            <w:r>
              <w:rPr>
                <w:rFonts w:ascii="Carlito" w:hAnsi="Carlito" w:eastAsia="Carlito"/>
                <w:b w:val="0"/>
                <w:color w:val="243447"/>
                <w:sz w:val="16"/>
              </w:rPr>
              <w:t>Faible</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6"/>
              </w:rPr>
              <w:t>api</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Python FastAPI</w:t>
            </w:r>
          </w:p>
        </w:tc>
        <w:tc>
          <w:tcPr>
            <w:tcW w:type="dxa" w:w="4649"/>
            <w:vAlign w:val="center"/>
            <w:tcMar>
              <w:top w:w="80" w:type="dxa"/>
              <w:start w:w="90" w:type="dxa"/>
              <w:bottom w:w="80" w:type="dxa"/>
              <w:end w:w="90" w:type="dxa"/>
            </w:tcMar>
            <w:shd w:fill="F2F2F2"/>
          </w:tcPr>
          <w:p>
            <w:pPr>
              <w:spacing w:after="0"/>
            </w:pPr>
            <w:r/>
            <w:r>
              <w:rPr>
                <w:rFonts w:ascii="Carlito" w:hAnsi="Carlito" w:eastAsia="Carlito"/>
                <w:b w:val="0"/>
                <w:color w:val="243447"/>
                <w:sz w:val="16"/>
              </w:rPr>
              <w:t>2-4 vCPU, 4-8 Go selon charge</w:t>
            </w:r>
          </w:p>
        </w:tc>
      </w:tr>
      <w:tr>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6"/>
              </w:rPr>
              <w:t>worker</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Python</w:t>
            </w:r>
          </w:p>
        </w:tc>
        <w:tc>
          <w:tcPr>
            <w:tcW w:type="dxa" w:w="4649"/>
            <w:vAlign w:val="center"/>
            <w:tcMar>
              <w:top w:w="80" w:type="dxa"/>
              <w:start w:w="90" w:type="dxa"/>
              <w:bottom w:w="80" w:type="dxa"/>
              <w:end w:w="90" w:type="dxa"/>
            </w:tcMar>
          </w:tcPr>
          <w:p>
            <w:pPr>
              <w:spacing w:after="0"/>
            </w:pPr>
            <w:r/>
            <w:r>
              <w:rPr>
                <w:rFonts w:ascii="Carlito" w:hAnsi="Carlito" w:eastAsia="Carlito"/>
                <w:b w:val="0"/>
                <w:color w:val="243447"/>
                <w:sz w:val="16"/>
              </w:rPr>
              <w:t>2-8 vCPU, mémoire selon calcul</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6"/>
              </w:rPr>
              <w:t>postgres</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PostgreSQL/PostGIS</w:t>
            </w:r>
          </w:p>
        </w:tc>
        <w:tc>
          <w:tcPr>
            <w:tcW w:type="dxa" w:w="4649"/>
            <w:vAlign w:val="center"/>
            <w:tcMar>
              <w:top w:w="80" w:type="dxa"/>
              <w:start w:w="90" w:type="dxa"/>
              <w:bottom w:w="80" w:type="dxa"/>
              <w:end w:w="90" w:type="dxa"/>
            </w:tcMar>
            <w:shd w:fill="F2F2F2"/>
          </w:tcPr>
          <w:p>
            <w:pPr>
              <w:spacing w:after="0"/>
            </w:pPr>
            <w:r/>
            <w:r>
              <w:rPr>
                <w:rFonts w:ascii="Carlito" w:hAnsi="Carlito" w:eastAsia="Carlito"/>
                <w:b w:val="0"/>
                <w:color w:val="243447"/>
                <w:sz w:val="16"/>
              </w:rPr>
              <w:t>SSD, sauvegardes, 4-16 Go</w:t>
            </w:r>
          </w:p>
        </w:tc>
      </w:tr>
      <w:tr>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6"/>
              </w:rPr>
              <w:t>object-storage</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MinIO ou volume</w:t>
            </w:r>
          </w:p>
        </w:tc>
        <w:tc>
          <w:tcPr>
            <w:tcW w:type="dxa" w:w="4649"/>
            <w:vAlign w:val="center"/>
            <w:tcMar>
              <w:top w:w="80" w:type="dxa"/>
              <w:start w:w="90" w:type="dxa"/>
              <w:bottom w:w="80" w:type="dxa"/>
              <w:end w:w="90" w:type="dxa"/>
            </w:tcMar>
          </w:tcPr>
          <w:p>
            <w:pPr>
              <w:spacing w:after="0"/>
            </w:pPr>
            <w:r/>
            <w:r>
              <w:rPr>
                <w:rFonts w:ascii="Carlito" w:hAnsi="Carlito" w:eastAsia="Carlito"/>
                <w:b w:val="0"/>
                <w:color w:val="243447"/>
                <w:sz w:val="16"/>
              </w:rPr>
              <w:t>Selon fichiers</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6"/>
              </w:rPr>
              <w:t>monitoring</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Option initiale</w:t>
            </w:r>
          </w:p>
        </w:tc>
        <w:tc>
          <w:tcPr>
            <w:tcW w:type="dxa" w:w="4649"/>
            <w:vAlign w:val="center"/>
            <w:tcMar>
              <w:top w:w="80" w:type="dxa"/>
              <w:start w:w="90" w:type="dxa"/>
              <w:bottom w:w="80" w:type="dxa"/>
              <w:end w:w="90" w:type="dxa"/>
            </w:tcMar>
            <w:shd w:fill="F2F2F2"/>
          </w:tcPr>
          <w:p>
            <w:pPr>
              <w:spacing w:after="0"/>
            </w:pPr>
            <w:r/>
            <w:r>
              <w:rPr>
                <w:rFonts w:ascii="Carlito" w:hAnsi="Carlito" w:eastAsia="Carlito"/>
                <w:b w:val="0"/>
                <w:color w:val="243447"/>
                <w:sz w:val="16"/>
              </w:rPr>
              <w:t>Logs et métriques</w:t>
            </w:r>
          </w:p>
        </w:tc>
      </w:tr>
    </w:tbl>
    <w:p>
      <w:pPr>
        <w:spacing w:after="40"/>
      </w:pPr>
    </w:p>
    <w:p>
      <w:r>
        <w:rPr>
          <w:i w:val="0"/>
        </w:rPr>
        <w:t>Le déploiement local peut regrouper plusieurs composants sur un seul serveur. La séparation logique reste conservée pour migrer ensuite vers plusieurs machines. Kubernetes n’est pas requis au MVP.</w:t>
      </w:r>
    </w:p>
    <w:p>
      <w:pPr>
        <w:pStyle w:val="Heading1"/>
      </w:pPr>
      <w:r>
        <w:t>10. Évolutivité vers des services spécialisés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Service futur</w:t>
            </w:r>
          </w:p>
        </w:tc>
        <w:tc>
          <w:tcPr>
            <w:tcW w:type="dxa" w:w="3061"/>
            <w:vAlign w:val="center"/>
            <w:tcMar>
              <w:top w:w="80" w:type="dxa"/>
              <w:start w:w="90" w:type="dxa"/>
              <w:bottom w:w="80" w:type="dxa"/>
              <w:end w:w="90" w:type="dxa"/>
            </w:tcMar>
            <w:shd w:fill="17365D"/>
          </w:tcPr>
          <w:p>
            <w:pPr>
              <w:spacing w:after="0"/>
            </w:pPr>
            <w:r/>
            <w:r>
              <w:rPr>
                <w:rFonts w:ascii="Carlito" w:hAnsi="Carlito" w:eastAsia="Carlito"/>
                <w:b/>
                <w:color w:val="FFFFFF"/>
                <w:sz w:val="16"/>
              </w:rPr>
              <w:t>Technologie candidate</w:t>
            </w:r>
          </w:p>
        </w:tc>
        <w:tc>
          <w:tcPr>
            <w:tcW w:type="dxa" w:w="4082"/>
            <w:vAlign w:val="center"/>
            <w:tcMar>
              <w:top w:w="80" w:type="dxa"/>
              <w:start w:w="90" w:type="dxa"/>
              <w:bottom w:w="80" w:type="dxa"/>
              <w:end w:w="90" w:type="dxa"/>
            </w:tcMar>
            <w:shd w:fill="17365D"/>
          </w:tcPr>
          <w:p>
            <w:pPr>
              <w:spacing w:after="0"/>
            </w:pPr>
            <w:r/>
            <w:r>
              <w:rPr>
                <w:rFonts w:ascii="Carlito" w:hAnsi="Carlito" w:eastAsia="Carlito"/>
                <w:b/>
                <w:color w:val="FFFFFF"/>
                <w:sz w:val="16"/>
              </w:rPr>
              <w:t>Contrat</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gas-engine</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GasModels.jl/Julia + moteur interne</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API versionnée, cas et résultats JSON/Parquet</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transient-engine</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OpenModelica/FMU ou moteur MOC Python/C++</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Paquet de modèle immuable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scada-gateway</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open62541/PLC4X</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Flux de tags normalisés en lecture seule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historian</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TimescaleDB/IoTDB</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API de requête et qualité</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leak-detection</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Service physique/statistique</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Événements avec confiance et preuve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reporting-scale</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Worker spécialisé</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Templates versionnés</w:t>
            </w:r>
          </w:p>
        </w:tc>
      </w:tr>
    </w:tbl>
    <w:p>
      <w:pPr>
        <w:spacing w:after="40"/>
      </w:pPr>
    </w:p>
    <w:p>
      <w:pPr>
        <w:pStyle w:val="Heading1"/>
      </w:pPr>
      <w:r>
        <w:t>11. Environnements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14"/>
            <w:vAlign w:val="center"/>
            <w:tcMar>
              <w:top w:w="80" w:type="dxa"/>
              <w:start w:w="90" w:type="dxa"/>
              <w:bottom w:w="80" w:type="dxa"/>
              <w:end w:w="90" w:type="dxa"/>
            </w:tcMar>
            <w:shd w:fill="17365D"/>
          </w:tcPr>
          <w:p>
            <w:pPr>
              <w:spacing w:after="0"/>
            </w:pPr>
            <w:r/>
            <w:r>
              <w:rPr>
                <w:rFonts w:ascii="Carlito" w:hAnsi="Carlito" w:eastAsia="Carlito"/>
                <w:b/>
                <w:color w:val="FFFFFF"/>
                <w:sz w:val="16"/>
              </w:rPr>
              <w:t>Environnement</w:t>
            </w:r>
          </w:p>
        </w:tc>
        <w:tc>
          <w:tcPr>
            <w:tcW w:type="dxa" w:w="3742"/>
            <w:vAlign w:val="center"/>
            <w:tcMar>
              <w:top w:w="80" w:type="dxa"/>
              <w:start w:w="90" w:type="dxa"/>
              <w:bottom w:w="80" w:type="dxa"/>
              <w:end w:w="90" w:type="dxa"/>
            </w:tcMar>
            <w:shd w:fill="17365D"/>
          </w:tcPr>
          <w:p>
            <w:pPr>
              <w:spacing w:after="0"/>
            </w:pPr>
            <w:r/>
            <w:r>
              <w:rPr>
                <w:rFonts w:ascii="Carlito" w:hAnsi="Carlito" w:eastAsia="Carlito"/>
                <w:b/>
                <w:color w:val="FFFFFF"/>
                <w:sz w:val="16"/>
              </w:rPr>
              <w:t>Usage</w:t>
            </w:r>
          </w:p>
        </w:tc>
        <w:tc>
          <w:tcPr>
            <w:tcW w:type="dxa" w:w="3855"/>
            <w:vAlign w:val="center"/>
            <w:tcMar>
              <w:top w:w="80" w:type="dxa"/>
              <w:start w:w="90" w:type="dxa"/>
              <w:bottom w:w="80" w:type="dxa"/>
              <w:end w:w="90" w:type="dxa"/>
            </w:tcMar>
            <w:shd w:fill="17365D"/>
          </w:tcPr>
          <w:p>
            <w:pPr>
              <w:spacing w:after="0"/>
            </w:pPr>
            <w:r/>
            <w:r>
              <w:rPr>
                <w:rFonts w:ascii="Carlito" w:hAnsi="Carlito" w:eastAsia="Carlito"/>
                <w:b/>
                <w:color w:val="FFFFFF"/>
                <w:sz w:val="16"/>
              </w:rPr>
              <w:t>Données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dev</w:t>
            </w:r>
          </w:p>
        </w:tc>
        <w:tc>
          <w:tcPr>
            <w:tcW w:type="dxa" w:w="3742"/>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Développement local</w:t>
            </w:r>
          </w:p>
        </w:tc>
        <w:tc>
          <w:tcPr>
            <w:tcW w:type="dxa" w:w="3855"/>
            <w:vAlign w:val="center"/>
            <w:tcMar>
              <w:top w:w="80" w:type="dxa"/>
              <w:start w:w="90" w:type="dxa"/>
              <w:bottom w:w="80" w:type="dxa"/>
              <w:end w:w="90" w:type="dxa"/>
            </w:tcMar>
            <w:shd w:fill="F2F2F2"/>
          </w:tcPr>
          <w:p>
            <w:pPr>
              <w:spacing w:after="0"/>
            </w:pPr>
            <w:r/>
            <w:r>
              <w:rPr>
                <w:rFonts w:ascii="Carlito" w:hAnsi="Carlito" w:eastAsia="Carlito"/>
                <w:b w:val="0"/>
                <w:color w:val="243447"/>
                <w:sz w:val="16"/>
              </w:rPr>
              <w:t>Synthétiques uniquement</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test</w:t>
            </w:r>
          </w:p>
        </w:tc>
        <w:tc>
          <w:tcPr>
            <w:tcW w:type="dxa" w:w="3742"/>
            <w:vAlign w:val="center"/>
            <w:tcMar>
              <w:top w:w="80" w:type="dxa"/>
              <w:start w:w="90" w:type="dxa"/>
              <w:bottom w:w="80" w:type="dxa"/>
              <w:end w:w="90" w:type="dxa"/>
            </w:tcMar>
          </w:tcPr>
          <w:p>
            <w:pPr>
              <w:spacing w:after="0"/>
            </w:pPr>
            <w:r/>
            <w:r>
              <w:rPr>
                <w:rFonts w:ascii="Carlito" w:hAnsi="Carlito" w:eastAsia="Carlito"/>
                <w:b w:val="0"/>
                <w:color w:val="243447"/>
                <w:sz w:val="16"/>
              </w:rPr>
              <w:t>CI et intégration</w:t>
            </w:r>
          </w:p>
        </w:tc>
        <w:tc>
          <w:tcPr>
            <w:tcW w:type="dxa" w:w="3855"/>
            <w:vAlign w:val="center"/>
            <w:tcMar>
              <w:top w:w="80" w:type="dxa"/>
              <w:start w:w="90" w:type="dxa"/>
              <w:bottom w:w="80" w:type="dxa"/>
              <w:end w:w="90" w:type="dxa"/>
            </w:tcMar>
          </w:tcPr>
          <w:p>
            <w:pPr>
              <w:spacing w:after="0"/>
            </w:pPr>
            <w:r/>
            <w:r>
              <w:rPr>
                <w:rFonts w:ascii="Carlito" w:hAnsi="Carlito" w:eastAsia="Carlito"/>
                <w:b w:val="0"/>
                <w:color w:val="243447"/>
                <w:sz w:val="16"/>
              </w:rPr>
              <w:t>Cas de validation figés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staging</w:t>
            </w:r>
          </w:p>
        </w:tc>
        <w:tc>
          <w:tcPr>
            <w:tcW w:type="dxa" w:w="3742"/>
            <w:vAlign w:val="center"/>
            <w:tcMar>
              <w:top w:w="80" w:type="dxa"/>
              <w:start w:w="90" w:type="dxa"/>
              <w:bottom w:w="80" w:type="dxa"/>
              <w:end w:w="90" w:type="dxa"/>
            </w:tcMar>
            <w:shd w:fill="F2F2F2"/>
          </w:tcPr>
          <w:p>
            <w:pPr>
              <w:spacing w:after="0"/>
            </w:pPr>
            <w:r/>
            <w:r>
              <w:rPr>
                <w:rFonts w:ascii="Carlito" w:hAnsi="Carlito" w:eastAsia="Carlito"/>
                <w:b w:val="0"/>
                <w:color w:val="243447"/>
                <w:sz w:val="16"/>
              </w:rPr>
              <w:t>Recette et démonstration</w:t>
            </w:r>
          </w:p>
        </w:tc>
        <w:tc>
          <w:tcPr>
            <w:tcW w:type="dxa" w:w="3855"/>
            <w:vAlign w:val="center"/>
            <w:tcMar>
              <w:top w:w="80" w:type="dxa"/>
              <w:start w:w="90" w:type="dxa"/>
              <w:bottom w:w="80" w:type="dxa"/>
              <w:end w:w="90" w:type="dxa"/>
            </w:tcMar>
            <w:shd w:fill="F2F2F2"/>
          </w:tcPr>
          <w:p>
            <w:pPr>
              <w:spacing w:after="0"/>
            </w:pPr>
            <w:r/>
            <w:r>
              <w:rPr>
                <w:rFonts w:ascii="Carlito" w:hAnsi="Carlito" w:eastAsia="Carlito"/>
                <w:b w:val="0"/>
                <w:color w:val="243447"/>
                <w:sz w:val="16"/>
              </w:rPr>
              <w:t>Données anonymisées</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pilot</w:t>
            </w:r>
          </w:p>
        </w:tc>
        <w:tc>
          <w:tcPr>
            <w:tcW w:type="dxa" w:w="3742"/>
            <w:vAlign w:val="center"/>
            <w:tcMar>
              <w:top w:w="80" w:type="dxa"/>
              <w:start w:w="90" w:type="dxa"/>
              <w:bottom w:w="80" w:type="dxa"/>
              <w:end w:w="90" w:type="dxa"/>
            </w:tcMar>
          </w:tcPr>
          <w:p>
            <w:pPr>
              <w:spacing w:after="0"/>
            </w:pPr>
            <w:r/>
            <w:r>
              <w:rPr>
                <w:rFonts w:ascii="Carlito" w:hAnsi="Carlito" w:eastAsia="Carlito"/>
                <w:b w:val="0"/>
                <w:color w:val="243447"/>
                <w:sz w:val="16"/>
              </w:rPr>
              <w:t>Site pilote isolé</w:t>
            </w:r>
          </w:p>
        </w:tc>
        <w:tc>
          <w:tcPr>
            <w:tcW w:type="dxa" w:w="3855"/>
            <w:vAlign w:val="center"/>
            <w:tcMar>
              <w:top w:w="80" w:type="dxa"/>
              <w:start w:w="90" w:type="dxa"/>
              <w:bottom w:w="80" w:type="dxa"/>
              <w:end w:w="90" w:type="dxa"/>
            </w:tcMar>
          </w:tcPr>
          <w:p>
            <w:pPr>
              <w:spacing w:after="0"/>
            </w:pPr>
            <w:r/>
            <w:r>
              <w:rPr>
                <w:rFonts w:ascii="Carlito" w:hAnsi="Carlito" w:eastAsia="Carlito"/>
                <w:b w:val="0"/>
                <w:color w:val="243447"/>
                <w:sz w:val="16"/>
              </w:rPr>
              <w:t>Données réelles contrôlées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production</w:t>
            </w:r>
          </w:p>
        </w:tc>
        <w:tc>
          <w:tcPr>
            <w:tcW w:type="dxa" w:w="3742"/>
            <w:vAlign w:val="center"/>
            <w:tcMar>
              <w:top w:w="80" w:type="dxa"/>
              <w:start w:w="90" w:type="dxa"/>
              <w:bottom w:w="80" w:type="dxa"/>
              <w:end w:w="90" w:type="dxa"/>
            </w:tcMar>
            <w:shd w:fill="F2F2F2"/>
          </w:tcPr>
          <w:p>
            <w:pPr>
              <w:spacing w:after="0"/>
            </w:pPr>
            <w:r/>
            <w:r>
              <w:rPr>
                <w:rFonts w:ascii="Carlito" w:hAnsi="Carlito" w:eastAsia="Carlito"/>
                <w:b w:val="0"/>
                <w:color w:val="243447"/>
                <w:sz w:val="16"/>
              </w:rPr>
              <w:t>Exploitation</w:t>
            </w:r>
          </w:p>
        </w:tc>
        <w:tc>
          <w:tcPr>
            <w:tcW w:type="dxa" w:w="3855"/>
            <w:vAlign w:val="center"/>
            <w:tcMar>
              <w:top w:w="80" w:type="dxa"/>
              <w:start w:w="90" w:type="dxa"/>
              <w:bottom w:w="80" w:type="dxa"/>
              <w:end w:w="90" w:type="dxa"/>
            </w:tcMar>
            <w:shd w:fill="F2F2F2"/>
          </w:tcPr>
          <w:p>
            <w:pPr>
              <w:spacing w:after="0"/>
            </w:pPr>
            <w:r/>
            <w:r>
              <w:rPr>
                <w:rFonts w:ascii="Carlito" w:hAnsi="Carlito" w:eastAsia="Carlito"/>
                <w:b w:val="0"/>
                <w:color w:val="243447"/>
                <w:sz w:val="16"/>
              </w:rPr>
              <w:t>Sauvegarde, audit et procédures</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ot-integration futur</w:t>
            </w:r>
          </w:p>
        </w:tc>
        <w:tc>
          <w:tcPr>
            <w:tcW w:type="dxa" w:w="3742"/>
            <w:vAlign w:val="center"/>
            <w:tcMar>
              <w:top w:w="80" w:type="dxa"/>
              <w:start w:w="90" w:type="dxa"/>
              <w:bottom w:w="80" w:type="dxa"/>
              <w:end w:w="90" w:type="dxa"/>
            </w:tcMar>
          </w:tcPr>
          <w:p>
            <w:pPr>
              <w:spacing w:after="0"/>
            </w:pPr>
            <w:r/>
            <w:r>
              <w:rPr>
                <w:rFonts w:ascii="Carlito" w:hAnsi="Carlito" w:eastAsia="Carlito"/>
                <w:b w:val="0"/>
                <w:color w:val="243447"/>
                <w:sz w:val="16"/>
              </w:rPr>
              <w:t>Passerelle industrielle</w:t>
            </w:r>
          </w:p>
        </w:tc>
        <w:tc>
          <w:tcPr>
            <w:tcW w:type="dxa" w:w="3855"/>
            <w:vAlign w:val="center"/>
            <w:tcMar>
              <w:top w:w="80" w:type="dxa"/>
              <w:start w:w="90" w:type="dxa"/>
              <w:bottom w:w="80" w:type="dxa"/>
              <w:end w:w="90" w:type="dxa"/>
            </w:tcMar>
          </w:tcPr>
          <w:p>
            <w:pPr>
              <w:spacing w:after="0"/>
            </w:pPr>
            <w:r/>
            <w:r>
              <w:rPr>
                <w:rFonts w:ascii="Carlito" w:hAnsi="Carlito" w:eastAsia="Carlito"/>
                <w:b w:val="0"/>
                <w:color w:val="243447"/>
                <w:sz w:val="16"/>
              </w:rPr>
              <w:t>Zone réseau séparée</w:t>
            </w:r>
          </w:p>
        </w:tc>
      </w:tr>
    </w:tbl>
    <w:p>
      <w:pPr>
        <w:spacing w:after="40"/>
      </w:pPr>
    </w:p>
    <w:p>
      <w:pPr>
        <w:pStyle w:val="Heading1"/>
      </w:pPr>
      <w:r>
        <w:t>12. Décisions d’architecture (ADR) initiales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417"/>
            <w:vAlign w:val="center"/>
            <w:tcMar>
              <w:top w:w="80" w:type="dxa"/>
              <w:start w:w="90" w:type="dxa"/>
              <w:bottom w:w="80" w:type="dxa"/>
              <w:end w:w="90" w:type="dxa"/>
            </w:tcMar>
            <w:shd w:fill="17365D"/>
          </w:tcPr>
          <w:p>
            <w:pPr>
              <w:spacing w:after="0"/>
            </w:pPr>
            <w:r/>
            <w:r>
              <w:rPr>
                <w:rFonts w:ascii="Carlito" w:hAnsi="Carlito" w:eastAsia="Carlito"/>
                <w:b/>
                <w:color w:val="FFFFFF"/>
                <w:sz w:val="16"/>
              </w:rPr>
              <w:t>ADR</w:t>
            </w:r>
          </w:p>
        </w:tc>
        <w:tc>
          <w:tcPr>
            <w:tcW w:type="dxa" w:w="3175"/>
            <w:vAlign w:val="center"/>
            <w:tcMar>
              <w:top w:w="80" w:type="dxa"/>
              <w:start w:w="90" w:type="dxa"/>
              <w:bottom w:w="80" w:type="dxa"/>
              <w:end w:w="90" w:type="dxa"/>
            </w:tcMar>
            <w:shd w:fill="17365D"/>
          </w:tcPr>
          <w:p>
            <w:pPr>
              <w:spacing w:after="0"/>
            </w:pPr>
            <w:r/>
            <w:r>
              <w:rPr>
                <w:rFonts w:ascii="Carlito" w:hAnsi="Carlito" w:eastAsia="Carlito"/>
                <w:b/>
                <w:color w:val="FFFFFF"/>
                <w:sz w:val="16"/>
              </w:rPr>
              <w:t>Décision</w:t>
            </w:r>
          </w:p>
        </w:tc>
        <w:tc>
          <w:tcPr>
            <w:tcW w:type="dxa" w:w="4819"/>
            <w:vAlign w:val="center"/>
            <w:tcMar>
              <w:top w:w="80" w:type="dxa"/>
              <w:start w:w="90" w:type="dxa"/>
              <w:bottom w:w="80" w:type="dxa"/>
              <w:end w:w="90" w:type="dxa"/>
            </w:tcMar>
            <w:shd w:fill="17365D"/>
          </w:tcPr>
          <w:p>
            <w:pPr>
              <w:spacing w:after="0"/>
            </w:pPr>
            <w:r/>
            <w:r>
              <w:rPr>
                <w:rFonts w:ascii="Carlito" w:hAnsi="Carlito" w:eastAsia="Carlito"/>
                <w:b/>
                <w:color w:val="FFFFFF"/>
                <w:sz w:val="16"/>
              </w:rPr>
              <w:t>Justification</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ADR-001</w:t>
            </w:r>
          </w:p>
        </w:tc>
        <w:tc>
          <w:tcPr>
            <w:tcW w:type="dxa" w:w="3175"/>
            <w:vAlign w:val="center"/>
            <w:tcMar>
              <w:top w:w="80" w:type="dxa"/>
              <w:start w:w="90" w:type="dxa"/>
              <w:bottom w:w="80" w:type="dxa"/>
              <w:end w:w="90" w:type="dxa"/>
            </w:tcMar>
            <w:shd w:fill="F2F2F2"/>
          </w:tcPr>
          <w:p>
            <w:pPr>
              <w:spacing w:after="0"/>
            </w:pPr>
            <w:r/>
            <w:r>
              <w:rPr>
                <w:rFonts w:ascii="Carlito" w:hAnsi="Carlito" w:eastAsia="Carlito"/>
                <w:b w:val="0"/>
                <w:color w:val="243447"/>
                <w:sz w:val="16"/>
              </w:rPr>
              <w:t>Python comme langage principal</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Calcul scientifique, données, vitesse de développement</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ADR-002</w:t>
            </w:r>
          </w:p>
        </w:tc>
        <w:tc>
          <w:tcPr>
            <w:tcW w:type="dxa" w:w="3175"/>
            <w:vAlign w:val="center"/>
            <w:tcMar>
              <w:top w:w="80" w:type="dxa"/>
              <w:start w:w="90" w:type="dxa"/>
              <w:bottom w:w="80" w:type="dxa"/>
              <w:end w:w="90" w:type="dxa"/>
            </w:tcMar>
          </w:tcPr>
          <w:p>
            <w:pPr>
              <w:spacing w:after="0"/>
            </w:pPr>
            <w:r/>
            <w:r>
              <w:rPr>
                <w:rFonts w:ascii="Carlito" w:hAnsi="Carlito" w:eastAsia="Carlito"/>
                <w:b w:val="0"/>
                <w:color w:val="243447"/>
                <w:sz w:val="16"/>
              </w:rPr>
              <w:t>PostgreSQL/PostGIS</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Relationnel, géospatial, robustesse et écosystème</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ADR-003</w:t>
            </w:r>
          </w:p>
        </w:tc>
        <w:tc>
          <w:tcPr>
            <w:tcW w:type="dxa" w:w="3175"/>
            <w:vAlign w:val="center"/>
            <w:tcMar>
              <w:top w:w="80" w:type="dxa"/>
              <w:start w:w="90" w:type="dxa"/>
              <w:bottom w:w="80" w:type="dxa"/>
              <w:end w:w="90" w:type="dxa"/>
            </w:tcMar>
            <w:shd w:fill="F2F2F2"/>
          </w:tcPr>
          <w:p>
            <w:pPr>
              <w:spacing w:after="0"/>
            </w:pPr>
            <w:r/>
            <w:r>
              <w:rPr>
                <w:rFonts w:ascii="Carlito" w:hAnsi="Carlito" w:eastAsia="Carlito"/>
                <w:b w:val="0"/>
                <w:color w:val="243447"/>
                <w:sz w:val="16"/>
              </w:rPr>
              <w:t>Monolithe modulaire</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Équipe de deux développeurs et complexité maîtrisée</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ADR-004</w:t>
            </w:r>
          </w:p>
        </w:tc>
        <w:tc>
          <w:tcPr>
            <w:tcW w:type="dxa" w:w="3175"/>
            <w:vAlign w:val="center"/>
            <w:tcMar>
              <w:top w:w="80" w:type="dxa"/>
              <w:start w:w="90" w:type="dxa"/>
              <w:bottom w:w="80" w:type="dxa"/>
              <w:end w:w="90" w:type="dxa"/>
            </w:tcMar>
          </w:tcPr>
          <w:p>
            <w:pPr>
              <w:spacing w:after="0"/>
            </w:pPr>
            <w:r/>
            <w:r>
              <w:rPr>
                <w:rFonts w:ascii="Carlito" w:hAnsi="Carlito" w:eastAsia="Carlito"/>
                <w:b w:val="0"/>
                <w:color w:val="243447"/>
                <w:sz w:val="16"/>
              </w:rPr>
              <w:t>React/TypeScript</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Interface riche, typage et écosystème</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ADR-005</w:t>
            </w:r>
          </w:p>
        </w:tc>
        <w:tc>
          <w:tcPr>
            <w:tcW w:type="dxa" w:w="3175"/>
            <w:vAlign w:val="center"/>
            <w:tcMar>
              <w:top w:w="80" w:type="dxa"/>
              <w:start w:w="90" w:type="dxa"/>
              <w:bottom w:w="80" w:type="dxa"/>
              <w:end w:w="90" w:type="dxa"/>
            </w:tcMar>
            <w:shd w:fill="F2F2F2"/>
          </w:tcPr>
          <w:p>
            <w:pPr>
              <w:spacing w:after="0"/>
            </w:pPr>
            <w:r/>
            <w:r>
              <w:rPr>
                <w:rFonts w:ascii="Carlito" w:hAnsi="Carlito" w:eastAsia="Carlito"/>
                <w:b w:val="0"/>
                <w:color w:val="243447"/>
                <w:sz w:val="16"/>
              </w:rPr>
              <w:t>Calculs asynchrones</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Isolation de l’API et gestion des longues tâches</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ADR-006</w:t>
            </w:r>
          </w:p>
        </w:tc>
        <w:tc>
          <w:tcPr>
            <w:tcW w:type="dxa" w:w="3175"/>
            <w:vAlign w:val="center"/>
            <w:tcMar>
              <w:top w:w="80" w:type="dxa"/>
              <w:start w:w="90" w:type="dxa"/>
              <w:bottom w:w="80" w:type="dxa"/>
              <w:end w:w="90" w:type="dxa"/>
            </w:tcMar>
          </w:tcPr>
          <w:p>
            <w:pPr>
              <w:spacing w:after="0"/>
            </w:pPr>
            <w:r/>
            <w:r>
              <w:rPr>
                <w:rFonts w:ascii="Carlito" w:hAnsi="Carlito" w:eastAsia="Carlito"/>
                <w:b w:val="0"/>
                <w:color w:val="243447"/>
                <w:sz w:val="16"/>
              </w:rPr>
              <w:t>Noyau scientifique pur</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Validation et réutilisation</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ADR-007</w:t>
            </w:r>
          </w:p>
        </w:tc>
        <w:tc>
          <w:tcPr>
            <w:tcW w:type="dxa" w:w="3175"/>
            <w:vAlign w:val="center"/>
            <w:tcMar>
              <w:top w:w="80" w:type="dxa"/>
              <w:start w:w="90" w:type="dxa"/>
              <w:bottom w:w="80" w:type="dxa"/>
              <w:end w:w="90" w:type="dxa"/>
            </w:tcMar>
            <w:shd w:fill="F2F2F2"/>
          </w:tcPr>
          <w:p>
            <w:pPr>
              <w:spacing w:after="0"/>
            </w:pPr>
            <w:r/>
            <w:r>
              <w:rPr>
                <w:rFonts w:ascii="Carlito" w:hAnsi="Carlito" w:eastAsia="Carlito"/>
                <w:b w:val="0"/>
                <w:color w:val="243447"/>
                <w:sz w:val="16"/>
              </w:rPr>
              <w:t>SCADA en lecture seule</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Réduction des risques et séparation du contrôle</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ADR-008</w:t>
            </w:r>
          </w:p>
        </w:tc>
        <w:tc>
          <w:tcPr>
            <w:tcW w:type="dxa" w:w="3175"/>
            <w:vAlign w:val="center"/>
            <w:tcMar>
              <w:top w:w="80" w:type="dxa"/>
              <w:start w:w="90" w:type="dxa"/>
              <w:bottom w:w="80" w:type="dxa"/>
              <w:end w:w="90" w:type="dxa"/>
            </w:tcMar>
          </w:tcPr>
          <w:p>
            <w:pPr>
              <w:spacing w:after="0"/>
            </w:pPr>
            <w:r/>
            <w:r>
              <w:rPr>
                <w:rFonts w:ascii="Carlito" w:hAnsi="Carlito" w:eastAsia="Carlito"/>
                <w:b w:val="0"/>
                <w:color w:val="243447"/>
                <w:sz w:val="16"/>
              </w:rPr>
              <w:t>Moteurs externes par service</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Licences, performance et indépendance</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ADR-009</w:t>
            </w:r>
          </w:p>
        </w:tc>
        <w:tc>
          <w:tcPr>
            <w:tcW w:type="dxa" w:w="3175"/>
            <w:vAlign w:val="center"/>
            <w:tcMar>
              <w:top w:w="80" w:type="dxa"/>
              <w:start w:w="90" w:type="dxa"/>
              <w:bottom w:w="80" w:type="dxa"/>
              <w:end w:w="90" w:type="dxa"/>
            </w:tcMar>
            <w:shd w:fill="F2F2F2"/>
          </w:tcPr>
          <w:p>
            <w:pPr>
              <w:spacing w:after="0"/>
            </w:pPr>
            <w:r/>
            <w:r>
              <w:rPr>
                <w:rFonts w:ascii="Carlito" w:hAnsi="Carlito" w:eastAsia="Carlito"/>
                <w:b w:val="0"/>
                <w:color w:val="243447"/>
                <w:sz w:val="16"/>
              </w:rPr>
              <w:t>Règles normatives versionnées</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Multi-pays et audit</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ADR-010</w:t>
            </w:r>
          </w:p>
        </w:tc>
        <w:tc>
          <w:tcPr>
            <w:tcW w:type="dxa" w:w="3175"/>
            <w:vAlign w:val="center"/>
            <w:tcMar>
              <w:top w:w="80" w:type="dxa"/>
              <w:start w:w="90" w:type="dxa"/>
              <w:bottom w:w="80" w:type="dxa"/>
              <w:end w:w="90" w:type="dxa"/>
            </w:tcMar>
          </w:tcPr>
          <w:p>
            <w:pPr>
              <w:spacing w:after="0"/>
            </w:pPr>
            <w:r/>
            <w:r>
              <w:rPr>
                <w:rFonts w:ascii="Carlito" w:hAnsi="Carlito" w:eastAsia="Carlito"/>
                <w:b w:val="0"/>
                <w:color w:val="243447"/>
                <w:sz w:val="16"/>
              </w:rPr>
              <w:t>Pas de Kubernetes au MVP</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Charge d’exploitation disproportionnée</w:t>
            </w:r>
          </w:p>
        </w:tc>
      </w:tr>
    </w:tbl>
    <w:p>
      <w:pPr>
        <w:spacing w:after="40"/>
      </w:pPr>
    </w:p>
    <w:p>
      <w:pPr>
        <w:pStyle w:val="Heading1"/>
      </w:pPr>
      <w:r>
        <w:t>13. Risques architecturaux</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3969"/>
            <w:vAlign w:val="center"/>
            <w:tcMar>
              <w:top w:w="80" w:type="dxa"/>
              <w:start w:w="90" w:type="dxa"/>
              <w:bottom w:w="80" w:type="dxa"/>
              <w:end w:w="90" w:type="dxa"/>
            </w:tcMar>
            <w:shd w:fill="17365D"/>
          </w:tcPr>
          <w:p>
            <w:pPr>
              <w:spacing w:after="0"/>
            </w:pPr>
            <w:r/>
            <w:r>
              <w:rPr>
                <w:rFonts w:ascii="Carlito" w:hAnsi="Carlito" w:eastAsia="Carlito"/>
                <w:b/>
                <w:color w:val="FFFFFF"/>
                <w:sz w:val="16"/>
              </w:rPr>
              <w:t>Risque</w:t>
            </w:r>
          </w:p>
        </w:tc>
        <w:tc>
          <w:tcPr>
            <w:tcW w:type="dxa" w:w="5443"/>
            <w:vAlign w:val="center"/>
            <w:tcMar>
              <w:top w:w="80" w:type="dxa"/>
              <w:start w:w="90" w:type="dxa"/>
              <w:bottom w:w="80" w:type="dxa"/>
              <w:end w:w="90" w:type="dxa"/>
            </w:tcMar>
            <w:shd w:fill="17365D"/>
          </w:tcPr>
          <w:p>
            <w:pPr>
              <w:spacing w:after="0"/>
            </w:pPr>
            <w:r/>
            <w:r>
              <w:rPr>
                <w:rFonts w:ascii="Carlito" w:hAnsi="Carlito" w:eastAsia="Carlito"/>
                <w:b/>
                <w:color w:val="FFFFFF"/>
                <w:sz w:val="16"/>
              </w:rPr>
              <w:t>Réponse</w:t>
            </w:r>
          </w:p>
        </w:tc>
      </w:tr>
      <w:tr>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Noyau scientifique trop couplé au métier web</w:t>
            </w:r>
          </w:p>
        </w:tc>
        <w:tc>
          <w:tcPr>
            <w:tcW w:type="dxa" w:w="5443"/>
            <w:vAlign w:val="center"/>
            <w:tcMar>
              <w:top w:w="80" w:type="dxa"/>
              <w:start w:w="90" w:type="dxa"/>
              <w:bottom w:w="80" w:type="dxa"/>
              <w:end w:w="90" w:type="dxa"/>
            </w:tcMar>
            <w:shd w:fill="F2F2F2"/>
          </w:tcPr>
          <w:p>
            <w:pPr>
              <w:spacing w:after="0"/>
            </w:pPr>
            <w:r/>
            <w:r>
              <w:rPr>
                <w:rFonts w:ascii="Carlito" w:hAnsi="Carlito" w:eastAsia="Carlito"/>
                <w:b w:val="0"/>
                <w:color w:val="243447"/>
                <w:sz w:val="16"/>
              </w:rPr>
              <w:t>Tests d’architecture et interfaces pures</w:t>
            </w:r>
          </w:p>
        </w:tc>
      </w:tr>
      <w:tr>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JSONB utilisé sans discipline</w:t>
            </w:r>
          </w:p>
        </w:tc>
        <w:tc>
          <w:tcPr>
            <w:tcW w:type="dxa" w:w="5443"/>
            <w:vAlign w:val="center"/>
            <w:tcMar>
              <w:top w:w="80" w:type="dxa"/>
              <w:start w:w="90" w:type="dxa"/>
              <w:bottom w:w="80" w:type="dxa"/>
              <w:end w:w="90" w:type="dxa"/>
            </w:tcMar>
          </w:tcPr>
          <w:p>
            <w:pPr>
              <w:spacing w:after="0"/>
            </w:pPr>
            <w:r/>
            <w:r>
              <w:rPr>
                <w:rFonts w:ascii="Carlito" w:hAnsi="Carlito" w:eastAsia="Carlito"/>
                <w:b w:val="0"/>
                <w:color w:val="243447"/>
                <w:sz w:val="16"/>
              </w:rPr>
              <w:t>Schémas, contraintes et champs relationnels pour le cœur</w:t>
            </w:r>
          </w:p>
        </w:tc>
      </w:tr>
      <w:tr>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Optimisation trop lente</w:t>
            </w:r>
          </w:p>
        </w:tc>
        <w:tc>
          <w:tcPr>
            <w:tcW w:type="dxa" w:w="5443"/>
            <w:vAlign w:val="center"/>
            <w:tcMar>
              <w:top w:w="80" w:type="dxa"/>
              <w:start w:w="90" w:type="dxa"/>
              <w:bottom w:w="80" w:type="dxa"/>
              <w:end w:w="90" w:type="dxa"/>
            </w:tcMar>
            <w:shd w:fill="F2F2F2"/>
          </w:tcPr>
          <w:p>
            <w:pPr>
              <w:spacing w:after="0"/>
            </w:pPr>
            <w:r/>
            <w:r>
              <w:rPr>
                <w:rFonts w:ascii="Carlito" w:hAnsi="Carlito" w:eastAsia="Carlito"/>
                <w:b w:val="0"/>
                <w:color w:val="243447"/>
                <w:sz w:val="16"/>
              </w:rPr>
              <w:t>Énumération MVP, profils et solveurs adaptés ensuite</w:t>
            </w:r>
          </w:p>
        </w:tc>
      </w:tr>
      <w:tr>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Dépendance à une bibliothèque non maîtrisée</w:t>
            </w:r>
          </w:p>
        </w:tc>
        <w:tc>
          <w:tcPr>
            <w:tcW w:type="dxa" w:w="5443"/>
            <w:vAlign w:val="center"/>
            <w:tcMar>
              <w:top w:w="80" w:type="dxa"/>
              <w:start w:w="90" w:type="dxa"/>
              <w:bottom w:w="80" w:type="dxa"/>
              <w:end w:w="90" w:type="dxa"/>
            </w:tcMar>
          </w:tcPr>
          <w:p>
            <w:pPr>
              <w:spacing w:after="0"/>
            </w:pPr>
            <w:r/>
            <w:r>
              <w:rPr>
                <w:rFonts w:ascii="Carlito" w:hAnsi="Carlito" w:eastAsia="Carlito"/>
                <w:b w:val="0"/>
                <w:color w:val="243447"/>
                <w:sz w:val="16"/>
              </w:rPr>
              <w:t>Adapters, benchmarks et cas de référence</w:t>
            </w:r>
          </w:p>
        </w:tc>
      </w:tr>
      <w:tr>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Complexité des graphes/éditeur</w:t>
            </w:r>
          </w:p>
        </w:tc>
        <w:tc>
          <w:tcPr>
            <w:tcW w:type="dxa" w:w="5443"/>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Commencer par formulaires et schéma contrôlé</w:t>
            </w:r>
          </w:p>
        </w:tc>
      </w:tr>
      <w:tr>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Séries temporelles prématurées</w:t>
            </w:r>
          </w:p>
        </w:tc>
        <w:tc>
          <w:tcPr>
            <w:tcW w:type="dxa" w:w="5443"/>
            <w:vAlign w:val="center"/>
            <w:tcMar>
              <w:top w:w="80" w:type="dxa"/>
              <w:start w:w="90" w:type="dxa"/>
              <w:bottom w:w="80" w:type="dxa"/>
              <w:end w:w="90" w:type="dxa"/>
            </w:tcMar>
          </w:tcPr>
          <w:p>
            <w:pPr>
              <w:spacing w:after="0"/>
            </w:pPr>
            <w:r/>
            <w:r>
              <w:rPr>
                <w:rFonts w:ascii="Carlito" w:hAnsi="Carlito" w:eastAsia="Carlito"/>
                <w:b w:val="0"/>
                <w:color w:val="243447"/>
                <w:sz w:val="16"/>
              </w:rPr>
              <w:t>PostgreSQL d’abord, migration mesurée</w:t>
            </w:r>
          </w:p>
        </w:tc>
      </w:tr>
      <w:tr>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Sécurité OT sous-estimée</w:t>
            </w:r>
          </w:p>
        </w:tc>
        <w:tc>
          <w:tcPr>
            <w:tcW w:type="dxa" w:w="5443"/>
            <w:vAlign w:val="center"/>
            <w:tcMar>
              <w:top w:w="80" w:type="dxa"/>
              <w:start w:w="90" w:type="dxa"/>
              <w:bottom w:w="80" w:type="dxa"/>
              <w:end w:w="90" w:type="dxa"/>
            </w:tcMar>
            <w:shd w:fill="F2F2F2"/>
          </w:tcPr>
          <w:p>
            <w:pPr>
              <w:spacing w:after="0"/>
            </w:pPr>
            <w:r/>
            <w:r>
              <w:rPr>
                <w:rFonts w:ascii="Carlito" w:hAnsi="Carlito" w:eastAsia="Carlito"/>
                <w:b w:val="0"/>
                <w:color w:val="243447"/>
                <w:sz w:val="16"/>
              </w:rPr>
              <w:t>Passerelle séparée et aucun write au MVP</w:t>
            </w:r>
          </w:p>
        </w:tc>
      </w:tr>
      <w:tr>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Deux développeurs sur trop de modules</w:t>
            </w:r>
          </w:p>
        </w:tc>
        <w:tc>
          <w:tcPr>
            <w:tcW w:type="dxa" w:w="5443"/>
            <w:vAlign w:val="center"/>
            <w:tcMar>
              <w:top w:w="80" w:type="dxa"/>
              <w:start w:w="90" w:type="dxa"/>
              <w:bottom w:w="80" w:type="dxa"/>
              <w:end w:w="90" w:type="dxa"/>
            </w:tcMar>
          </w:tcPr>
          <w:p>
            <w:pPr>
              <w:spacing w:after="0"/>
            </w:pPr>
            <w:r/>
            <w:r>
              <w:rPr>
                <w:rFonts w:ascii="Carlito" w:hAnsi="Carlito" w:eastAsia="Carlito"/>
                <w:b w:val="0"/>
                <w:color w:val="243447"/>
                <w:sz w:val="16"/>
              </w:rPr>
              <w:t>Phases strictes et gel de périmètre</w:t>
            </w:r>
          </w:p>
        </w:tc>
      </w:tr>
    </w:tbl>
    <w:p>
      <w:pPr>
        <w:spacing w:after="40"/>
      </w:pPr>
    </w:p>
    <w:p>
      <w:pPr>
        <w:pStyle w:val="Heading1"/>
      </w:pPr>
      <w:r>
        <w:t>Sources et références</w:t>
      </w:r>
    </w:p>
    <w:p>
      <w:pPr>
        <w:pStyle w:val="ListBullet"/>
      </w:pPr>
      <w:r>
        <w:t>D04/D05 - Exigences.</w:t>
      </w:r>
    </w:p>
    <w:p>
      <w:pPr>
        <w:pStyle w:val="ListBullet"/>
      </w:pPr>
      <w:r>
        <w:t>D07/D09 - Modèles scientifiques et données.</w:t>
      </w:r>
    </w:p>
    <w:p>
      <w:pPr>
        <w:pStyle w:val="ListBullet"/>
      </w:pPr>
      <w:r>
        <w:t>D14/D15 - Open source, licences, sécurité et intégration.</w:t>
      </w:r>
    </w:p>
    <w:p>
      <w:pPr>
        <w:pStyle w:val="ListBullet"/>
      </w:pPr>
      <w:r>
        <w:t>Décisions adaptées à une équipe restreinte, avec automatisation des contrôles et revues spécialisées.</w:t>
      </w:r>
    </w:p>
    <w:p>
      <w:pPr>
        <w:spacing w:before="360"/>
        <w:jc w:val="center"/>
      </w:pPr>
      <w:r>
        <w:rPr>
          <w:i/>
          <w:color w:val="7B8794"/>
          <w:sz w:val="16"/>
        </w:rPr>
        <w:t>Fin du document</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D11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logicielle détaillée</dc:title>
  <dc:subject>Plateforme de transport et de stockage des hydrocarbures</dc:subject>
  <dc:creator>Équipe projet (2 développeurs)</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