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D12</w:t>
      </w:r>
    </w:p>
    <w:p>
      <w:pPr>
        <w:spacing w:before="160"/>
        <w:jc w:val="center"/>
      </w:pPr>
      <w:r>
        <w:rPr>
          <w:rFonts w:ascii="Liberation Sans" w:hAnsi="Liberation Sans"/>
          <w:b/>
          <w:color w:val="17365D"/>
          <w:sz w:val="52"/>
        </w:rPr>
        <w:t>Modèle conceptuel et logique des données</w:t>
      </w:r>
    </w:p>
    <w:p>
      <w:pPr>
        <w:spacing w:before="200"/>
        <w:jc w:val="center"/>
      </w:pPr>
      <w:r>
        <w:rPr>
          <w:rFonts w:ascii="Carlito" w:hAnsi="Carlito"/>
          <w:i/>
          <w:color w:val="243447"/>
          <w:sz w:val="25"/>
        </w:rPr>
        <w:t>Schéma relationnel, agrégats, contraintes et stratégie de versionnement</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D12</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Objectifs</w:t>
      </w:r>
    </w:p>
    <w:p>
      <w:pPr>
        <w:pStyle w:val="ListNumber"/>
      </w:pPr>
      <w:r>
        <w:t>Agrégats</w:t>
      </w:r>
    </w:p>
    <w:p>
      <w:pPr>
        <w:pStyle w:val="ListNumber"/>
      </w:pPr>
      <w:r>
        <w:t>Entités principales</w:t>
      </w:r>
    </w:p>
    <w:p>
      <w:pPr>
        <w:pStyle w:val="ListNumber"/>
      </w:pPr>
      <w:r>
        <w:t>Relations</w:t>
      </w:r>
    </w:p>
    <w:p>
      <w:pPr>
        <w:pStyle w:val="ListNumber"/>
      </w:pPr>
      <w:r>
        <w:t>Versionnement</w:t>
      </w:r>
    </w:p>
    <w:p>
      <w:pPr>
        <w:pStyle w:val="ListNumber"/>
      </w:pPr>
      <w:r>
        <w:t>Résultats</w:t>
      </w:r>
    </w:p>
    <w:p>
      <w:pPr>
        <w:pStyle w:val="ListNumber"/>
      </w:pPr>
      <w:r>
        <w:t>Séries temporelles</w:t>
      </w:r>
    </w:p>
    <w:p>
      <w:pPr>
        <w:pStyle w:val="ListNumber"/>
      </w:pPr>
      <w:r>
        <w:t>Audit</w:t>
      </w:r>
    </w:p>
    <w:p>
      <w:pPr>
        <w:pStyle w:val="ListNumber"/>
      </w:pPr>
      <w:r>
        <w:t>Multi-organisation</w:t>
      </w:r>
    </w:p>
    <w:p>
      <w:pPr>
        <w:pStyle w:val="ListNumber"/>
      </w:pPr>
      <w:r>
        <w:t>Indexation</w:t>
      </w:r>
    </w:p>
    <w:p>
      <w:pPr>
        <w:pStyle w:val="ListNumber"/>
      </w:pPr>
      <w:r>
        <w:t>Migrations</w:t>
      </w:r>
    </w:p>
    <w:p>
      <w:pPr>
        <w:pStyle w:val="ListNumber"/>
      </w:pPr>
      <w:r>
        <w:t>Exemple de modèle</w:t>
      </w:r>
    </w:p>
    <w:p>
      <w:r>
        <w:rPr>
          <w:i/>
          <w:color w:val="6B7785"/>
          <w:sz w:val="17"/>
        </w:rPr>
        <w:t>La pagination peut évoluer après validation et mise en forme finale dans Microsoft Word ou LibreOffice.</w:t>
      </w:r>
    </w:p>
    <w:p>
      <w:r>
        <w:br w:type="page"/>
      </w:r>
    </w:p>
    <w:p>
      <w:pPr>
        <w:pStyle w:val="Heading1"/>
      </w:pPr>
      <w:r>
        <w:t>1. Objectifs du modèle</w:t>
      </w:r>
    </w:p>
    <w:p>
      <w:pPr>
        <w:pStyle w:val="ListBullet"/>
      </w:pPr>
      <w:r>
        <w:t>Garantir cohérence transactionnelle des projets et équipements.</w:t>
      </w:r>
    </w:p>
    <w:p>
      <w:pPr>
        <w:pStyle w:val="ListBullet"/>
      </w:pPr>
      <w:r>
        <w:t>Représenter un réseau sous forme de graphe sans limiter la topologie.</w:t>
      </w:r>
    </w:p>
    <w:p>
      <w:pPr>
        <w:pStyle w:val="ListBullet"/>
      </w:pPr>
      <w:r>
        <w:t>Versionner les modèles et scénarios sans copier inutilement toutes les données.</w:t>
      </w:r>
    </w:p>
    <w:p>
      <w:pPr>
        <w:pStyle w:val="ListBullet"/>
      </w:pPr>
      <w:r>
        <w:t>Rendre les calculs reproductibles et les résultats immuables.</w:t>
      </w:r>
    </w:p>
    <w:p>
      <w:pPr>
        <w:pStyle w:val="ListBullet"/>
      </w:pPr>
      <w:r>
        <w:t>Préparer la géographie, les séries temporelles et les moteurs futurs.</w:t>
      </w:r>
    </w:p>
    <w:p>
      <w:pPr>
        <w:pStyle w:val="ListBullet"/>
      </w:pPr>
      <w:r>
        <w:t>Isoler les organisations et permettre l’audit de toutes les modifications.</w:t>
      </w:r>
    </w:p>
    <w:p>
      <w:pPr>
        <w:pStyle w:val="Heading1"/>
      </w:pPr>
      <w:r>
        <w:t>2. Agrégats métier</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041"/>
            <w:vAlign w:val="center"/>
            <w:tcMar>
              <w:top w:w="80" w:type="dxa"/>
              <w:start w:w="90" w:type="dxa"/>
              <w:bottom w:w="80" w:type="dxa"/>
              <w:end w:w="90" w:type="dxa"/>
            </w:tcMar>
            <w:shd w:fill="17365D"/>
          </w:tcPr>
          <w:p>
            <w:pPr>
              <w:spacing w:after="0"/>
            </w:pPr>
            <w:r/>
            <w:r>
              <w:rPr>
                <w:rFonts w:ascii="Carlito" w:hAnsi="Carlito" w:eastAsia="Carlito"/>
                <w:b/>
                <w:color w:val="FFFFFF"/>
                <w:sz w:val="16"/>
              </w:rPr>
              <w:t>Agrégat</w:t>
            </w:r>
          </w:p>
        </w:tc>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Racine</w:t>
            </w:r>
          </w:p>
        </w:tc>
        <w:tc>
          <w:tcPr>
            <w:tcW w:type="dxa" w:w="5102"/>
            <w:vAlign w:val="center"/>
            <w:tcMar>
              <w:top w:w="80" w:type="dxa"/>
              <w:start w:w="90" w:type="dxa"/>
              <w:bottom w:w="80" w:type="dxa"/>
              <w:end w:w="90" w:type="dxa"/>
            </w:tcMar>
            <w:shd w:fill="17365D"/>
          </w:tcPr>
          <w:p>
            <w:pPr>
              <w:spacing w:after="0"/>
            </w:pPr>
            <w:r/>
            <w:r>
              <w:rPr>
                <w:rFonts w:ascii="Carlito" w:hAnsi="Carlito" w:eastAsia="Carlito"/>
                <w:b/>
                <w:color w:val="FFFFFF"/>
                <w:sz w:val="16"/>
              </w:rPr>
              <w:t>Contenu</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Organisation</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organization</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utilisateurs, rôles, politiques</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Site</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site</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emplacement, fuseau, référentiel géographique</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Projet</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project</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périmètre, normes, unités, membres</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Modèle</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model_version</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réseau, actifs, produits, paramètres</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Catalogue</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catalog_item</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modèles de pompes, vannes, matériaux, fluides</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Scénario</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scenario</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conditions aux limites et overrides</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calculation_run</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entrées figées, moteur, statut, résultats</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Réservoir</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tank</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barémage, limites et inventaires</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Transfert</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transfer_plan</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source, destination, chemin et résultats</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Données</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dataset</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fichier, mapping, qualité, séries</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Normes</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rule_set</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standards, règles, approbations</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Rapport</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report</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template, version, fichier et approbation</w:t>
            </w:r>
          </w:p>
        </w:tc>
      </w:tr>
    </w:tbl>
    <w:p>
      <w:pPr>
        <w:spacing w:after="40"/>
      </w:pPr>
    </w:p>
    <w:p>
      <w:pPr>
        <w:pStyle w:val="Heading1"/>
      </w:pPr>
      <w:r>
        <w:t>3. Entités principales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5"/>
              </w:rPr>
              <w:t>Table</w:t>
            </w:r>
          </w:p>
        </w:tc>
        <w:tc>
          <w:tcPr>
            <w:tcW w:type="dxa" w:w="2948"/>
            <w:vAlign w:val="center"/>
            <w:tcMar>
              <w:top w:w="80" w:type="dxa"/>
              <w:start w:w="90" w:type="dxa"/>
              <w:bottom w:w="80" w:type="dxa"/>
              <w:end w:w="90" w:type="dxa"/>
            </w:tcMar>
            <w:shd w:fill="17365D"/>
          </w:tcPr>
          <w:p>
            <w:pPr>
              <w:spacing w:after="0"/>
            </w:pPr>
            <w:r/>
            <w:r>
              <w:rPr>
                <w:rFonts w:ascii="Carlito" w:hAnsi="Carlito" w:eastAsia="Carlito"/>
                <w:b/>
                <w:color w:val="FFFFFF"/>
                <w:sz w:val="15"/>
              </w:rPr>
              <w:t>Clé/relations</w:t>
            </w:r>
          </w:p>
        </w:tc>
        <w:tc>
          <w:tcPr>
            <w:tcW w:type="dxa" w:w="3628"/>
            <w:vAlign w:val="center"/>
            <w:tcMar>
              <w:top w:w="80" w:type="dxa"/>
              <w:start w:w="90" w:type="dxa"/>
              <w:bottom w:w="80" w:type="dxa"/>
              <w:end w:w="90" w:type="dxa"/>
            </w:tcMar>
            <w:shd w:fill="17365D"/>
          </w:tcPr>
          <w:p>
            <w:pPr>
              <w:spacing w:after="0"/>
            </w:pPr>
            <w:r/>
            <w:r>
              <w:rPr>
                <w:rFonts w:ascii="Carlito" w:hAnsi="Carlito" w:eastAsia="Carlito"/>
                <w:b/>
                <w:color w:val="FFFFFF"/>
                <w:sz w:val="15"/>
              </w:rPr>
              <w:t>Description</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organizations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Tenant logique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users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id</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Compte utilisateur</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memberships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organization_id, user_id, role_id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Appartenance et rôle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sites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organization_id</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Site physique ou logique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projects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site_id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Projet d’étude/exploitation</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model_versions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project_id, parent_id</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Snapshot logique du modèle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nodes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model_version_id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Nœuds du graphe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edges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model_version_id, from_node_id, to_node_id</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Tronçons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asset_instances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model_version_id, catalog_item_id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Équipements placés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catalog_items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organization_id nullable</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Référentiel global ou privé</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fluids / fluid_properties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organization_id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Produits et propriétés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scenarios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model_version_id, parent_id</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Conditions et variations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scenario_overrides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scenario_id, target_id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Modification locale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calculation_runs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scenario_id</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Exécution immuable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node_results / edge_results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calculation_run_id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Résultats détaillés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rule_evaluations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calculation_run_id, rule_id</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Contrôles normatifs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files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5"/>
              </w:rPr>
              <w:t>organization_id</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5"/>
              </w:rPr>
              <w:t>Métadonnées stockage objet</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audit_events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5"/>
              </w:rPr>
              <w:t>organization_id</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5"/>
              </w:rPr>
              <w:t>Journal append-only</w:t>
            </w:r>
          </w:p>
        </w:tc>
      </w:tr>
    </w:tbl>
    <w:p>
      <w:pPr>
        <w:spacing w:after="40"/>
      </w:pPr>
    </w:p>
    <w:p>
      <w:pPr>
        <w:pStyle w:val="Heading1"/>
      </w:pPr>
      <w:r>
        <w:t>4. Relations clés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3515"/>
            <w:vAlign w:val="center"/>
            <w:tcMar>
              <w:top w:w="80" w:type="dxa"/>
              <w:start w:w="90" w:type="dxa"/>
              <w:bottom w:w="80" w:type="dxa"/>
              <w:end w:w="90" w:type="dxa"/>
            </w:tcMar>
            <w:shd w:fill="17365D"/>
          </w:tcPr>
          <w:p>
            <w:pPr>
              <w:spacing w:after="0"/>
            </w:pPr>
            <w:r/>
            <w:r>
              <w:rPr>
                <w:rFonts w:ascii="Carlito" w:hAnsi="Carlito" w:eastAsia="Carlito"/>
                <w:b/>
                <w:color w:val="FFFFFF"/>
                <w:sz w:val="16"/>
              </w:rPr>
              <w:t>Relation</w:t>
            </w:r>
          </w:p>
        </w:tc>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Cardinalité</w:t>
            </w:r>
          </w:p>
        </w:tc>
        <w:tc>
          <w:tcPr>
            <w:tcW w:type="dxa" w:w="4195"/>
            <w:vAlign w:val="center"/>
            <w:tcMar>
              <w:top w:w="80" w:type="dxa"/>
              <w:start w:w="90" w:type="dxa"/>
              <w:bottom w:w="80" w:type="dxa"/>
              <w:end w:w="90" w:type="dxa"/>
            </w:tcMar>
            <w:shd w:fill="17365D"/>
          </w:tcPr>
          <w:p>
            <w:pPr>
              <w:spacing w:after="0"/>
            </w:pPr>
            <w:r/>
            <w:r>
              <w:rPr>
                <w:rFonts w:ascii="Carlito" w:hAnsi="Carlito" w:eastAsia="Carlito"/>
                <w:b/>
                <w:color w:val="FFFFFF"/>
                <w:sz w:val="16"/>
              </w:rPr>
              <w:t>Règle</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organization → sites/projects/users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Suppression protégée, archivage</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project → model_versions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Une version active/approuvée possible selon statut</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model_version → nodes/edges/assets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Immuable après approbation</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node → edges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N-N via from/to</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Intégrité référentielle</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catalog_item → asset_instances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L’instance peut surcharger des paramètres autorisés</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scenario → overrides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Overrides validés selon type de cible</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 → calculation_runs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Plusieurs exécutions/version moteur</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calculation_run → results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Résultats non modifiables</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tank → strapping_points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Ordre hauteur/volume</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dataset → time_series samples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1-N</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Partitionnement futur</w:t>
            </w:r>
          </w:p>
        </w:tc>
      </w:tr>
    </w:tbl>
    <w:p>
      <w:pPr>
        <w:spacing w:after="40"/>
      </w:pPr>
    </w:p>
    <w:p>
      <w:pPr>
        <w:pStyle w:val="Heading1"/>
      </w:pPr>
      <w:r>
        <w:t>5. Stratégie de versionnement</w:t>
      </w:r>
    </w:p>
    <w:p>
      <w:r>
        <w:rPr>
          <w:i w:val="0"/>
        </w:rPr>
        <w:t>Le modèle doit éviter deux extrêmes : modifier directement une version approuvée ou dupliquer l’intégralité du projet à chaque changement. La stratégie recommandée combine des versions de modèle explicites et des scénarios par overrides.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Objet</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7"/>
              </w:rPr>
              <w:t>Versionnement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Catalogue global</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Historique valid_from/valid_to ou version de l’item</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ModelVersion</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Snapshot logique ; copie structurée lors d’une nouvelle baseline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Scenario</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Référence une ModelVersion et stocke seulement les différences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CalculationRun</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Capture/empreinte complète des entrées résolues au lancement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RuleSet</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Version immuable après approbation</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ReportTemplate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Version et hash</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Dataset</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Fichier brut immuable + versions de transformation</w:t>
            </w:r>
          </w:p>
        </w:tc>
      </w:tr>
    </w:tbl>
    <w:p>
      <w:pPr>
        <w:spacing w:after="40"/>
      </w:pPr>
    </w:p>
    <w:tbl>
      <w:tblPr>
        <w:tblW w:type="auto" w:w="0"/>
        <w:jc w:val="center"/>
        <w:tblLook w:firstColumn="1" w:firstRow="1" w:lastColumn="0" w:lastRow="0" w:noHBand="0" w:noVBand="1" w:val="04A0"/>
      </w:tblPr>
      <w:tblGrid>
        <w:gridCol w:w="9979"/>
      </w:tblGrid>
      <w:tr>
        <w:tc>
          <w:tcPr>
            <w:tcW w:type="dxa" w:w="9979"/>
            <w:shd w:fill="FFF2CC"/>
            <w:tcMar>
              <w:top w:w="130" w:type="dxa"/>
              <w:start w:w="140" w:type="dxa"/>
              <w:bottom w:w="130" w:type="dxa"/>
              <w:end w:w="140" w:type="dxa"/>
            </w:tcMar>
          </w:tcPr>
          <w:p>
            <w:r/>
            <w:r>
              <w:rPr>
                <w:rFonts w:ascii="Liberation Sans" w:hAnsi="Liberation Sans"/>
                <w:b/>
                <w:color w:val="17365D"/>
                <w:sz w:val="21"/>
              </w:rPr>
              <w:t>Reproductibilité</w:t>
            </w:r>
          </w:p>
          <w:p>
            <w:pPr>
              <w:spacing w:after="0"/>
            </w:pPr>
            <w:r>
              <w:rPr>
                <w:rFonts w:ascii="Carlito" w:hAnsi="Carlito"/>
                <w:color w:val="243447"/>
                <w:sz w:val="19"/>
              </w:rPr>
              <w:t>Au lancement d’un calcul, les overrides sont matérialisés dans un paquet d’entrée canonique. Ce paquet reçoit un hash et reste accessible même si le catalogue ou le scénario évolue ensuite.</w:t>
            </w:r>
          </w:p>
        </w:tc>
      </w:tr>
    </w:tbl>
    <w:p>
      <w:pPr>
        <w:spacing w:after="20"/>
      </w:pPr>
    </w:p>
    <w:p>
      <w:pPr>
        <w:pStyle w:val="Heading1"/>
      </w:pPr>
      <w:r>
        <w:t>6. Modélisation des résultats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494"/>
            <w:vAlign w:val="center"/>
            <w:tcMar>
              <w:top w:w="80" w:type="dxa"/>
              <w:start w:w="90" w:type="dxa"/>
              <w:bottom w:w="80" w:type="dxa"/>
              <w:end w:w="90" w:type="dxa"/>
            </w:tcMar>
            <w:shd w:fill="17365D"/>
          </w:tcPr>
          <w:p>
            <w:pPr>
              <w:spacing w:after="0"/>
            </w:pPr>
            <w:r/>
            <w:r>
              <w:rPr>
                <w:rFonts w:ascii="Carlito" w:hAnsi="Carlito" w:eastAsia="Carlito"/>
                <w:b/>
                <w:color w:val="FFFFFF"/>
                <w:sz w:val="16"/>
              </w:rPr>
              <w:t>Table</w:t>
            </w:r>
          </w:p>
        </w:tc>
        <w:tc>
          <w:tcPr>
            <w:tcW w:type="dxa" w:w="3515"/>
            <w:vAlign w:val="center"/>
            <w:tcMar>
              <w:top w:w="80" w:type="dxa"/>
              <w:start w:w="90" w:type="dxa"/>
              <w:bottom w:w="80" w:type="dxa"/>
              <w:end w:w="90" w:type="dxa"/>
            </w:tcMar>
            <w:shd w:fill="17365D"/>
          </w:tcPr>
          <w:p>
            <w:pPr>
              <w:spacing w:after="0"/>
            </w:pPr>
            <w:r/>
            <w:r>
              <w:rPr>
                <w:rFonts w:ascii="Carlito" w:hAnsi="Carlito" w:eastAsia="Carlito"/>
                <w:b/>
                <w:color w:val="FFFFFF"/>
                <w:sz w:val="16"/>
              </w:rPr>
              <w:t>Granularité</w:t>
            </w:r>
          </w:p>
        </w:tc>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Index</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calculation_runs</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Une exécution</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scenario_id, status, created_at</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6"/>
              </w:rPr>
              <w:t>node_results</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Un nœud par exécution</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run_id, node_id</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edge_results</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Un tronçon par exécution</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run_id, edge_id</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6"/>
              </w:rPr>
              <w:t>profile_results</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Points le long d’un tracé</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run_id, edge/chainage</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pump_results</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Une pompe/état</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run_id, asset_id</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6"/>
              </w:rPr>
              <w:t>tank_time_results</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Un bac et pas de temps</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run_id, tank_id, timestamp/elapsed</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violations</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Une contrainte violée</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run_id, severity, object_id</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6"/>
              </w:rPr>
              <w:t>solver_iterations</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Optionnel/échantillonné</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run_id, iteration</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scenario_kpis</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Résumé</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run_id, key</w:t>
            </w:r>
          </w:p>
        </w:tc>
      </w:tr>
    </w:tbl>
    <w:p>
      <w:pPr>
        <w:spacing w:after="40"/>
      </w:pPr>
    </w:p>
    <w:p>
      <w:pPr>
        <w:pStyle w:val="Heading1"/>
      </w:pPr>
      <w:r>
        <w:t>7. Séries temporelles</w:t>
      </w:r>
    </w:p>
    <w:p>
      <w:r>
        <w:rPr>
          <w:i w:val="0"/>
        </w:rPr>
        <w:t>Au MVP, les séries sont stockées dans PostgreSQL avec partitionnement par temps et éventuellement par site. Le schéma doit permettre une migration ultérieure vers TimescaleDB ou IoTDB sans changer les identifiants métier.</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Table</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6"/>
              </w:rPr>
              <w:t>Colonnes principales</w:t>
            </w:r>
          </w:p>
        </w:tc>
        <w:tc>
          <w:tcPr>
            <w:tcW w:type="dxa" w:w="2608"/>
            <w:vAlign w:val="center"/>
            <w:tcMar>
              <w:top w:w="80" w:type="dxa"/>
              <w:start w:w="90" w:type="dxa"/>
              <w:bottom w:w="80" w:type="dxa"/>
              <w:end w:w="90" w:type="dxa"/>
            </w:tcMar>
            <w:shd w:fill="17365D"/>
          </w:tcPr>
          <w:p>
            <w:pPr>
              <w:spacing w:after="0"/>
            </w:pPr>
            <w:r/>
            <w:r>
              <w:rPr>
                <w:rFonts w:ascii="Carlito" w:hAnsi="Carlito" w:eastAsia="Carlito"/>
                <w:b/>
                <w:color w:val="FFFFFF"/>
                <w:sz w:val="16"/>
              </w:rPr>
              <w:t>Remarque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tags</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id, site_id, asset_id, name, type, unit, source</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Métadonnées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samples_raw</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tag_id, source_ts, ingest_ts, value, quality, sequence</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Immuable/partitionnée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samples_normalized</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tag_id, ts, value_si, quality, processing_version</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Dérivée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events</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site_id, start/end, type, severity, source</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Alarmes et opérations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time_series_jobs</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dataset_id, status, checkpoint</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Imports et reprise</w:t>
            </w:r>
          </w:p>
        </w:tc>
      </w:tr>
    </w:tbl>
    <w:p>
      <w:pPr>
        <w:spacing w:after="40"/>
      </w:pPr>
    </w:p>
    <w:p>
      <w:pPr>
        <w:pStyle w:val="Heading1"/>
      </w:pPr>
      <w:r>
        <w:t>8. Audit et approbations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Table</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7"/>
              </w:rPr>
              <w:t>Fonction</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audit_events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Événements append-only avec acteur, objet, action et corrélation</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approvals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Objet, étape, décision, commentaire, signataire, date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comments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Discussion liée à un objet/version</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change_sets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Diff structuré pour nouvelle version</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security_events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Échecs de connexion, changements de permissions, accès sensibles</w:t>
            </w:r>
          </w:p>
        </w:tc>
      </w:tr>
    </w:tbl>
    <w:p>
      <w:pPr>
        <w:spacing w:after="40"/>
      </w:pPr>
    </w:p>
    <w:p>
      <w:pPr>
        <w:pStyle w:val="Heading1"/>
      </w:pPr>
      <w:r>
        <w:t>9. Isolation multi-organisation</w:t>
      </w:r>
    </w:p>
    <w:p>
      <w:pPr>
        <w:pStyle w:val="ListBullet"/>
      </w:pPr>
      <w:r>
        <w:t>organization_id obligatoire sur toutes les données privées.</w:t>
      </w:r>
    </w:p>
    <w:p>
      <w:pPr>
        <w:pStyle w:val="ListBullet"/>
      </w:pPr>
      <w:r>
        <w:t>Filtrage centralisé dans la couche d’accès et vérification au niveau service.</w:t>
      </w:r>
    </w:p>
    <w:p>
      <w:pPr>
        <w:pStyle w:val="ListBullet"/>
      </w:pPr>
      <w:r>
        <w:t>Row-Level Security PostgreSQL à étudier pour renforcer l’isolation.</w:t>
      </w:r>
    </w:p>
    <w:p>
      <w:pPr>
        <w:pStyle w:val="ListBullet"/>
      </w:pPr>
      <w:r>
        <w:t>Les catalogues publics sont explicitement marqués et en lecture seule.</w:t>
      </w:r>
    </w:p>
    <w:p>
      <w:pPr>
        <w:pStyle w:val="ListBullet"/>
      </w:pPr>
      <w:r>
        <w:t>Les fichiers sont stockés dans des préfixes/buckets isolés.</w:t>
      </w:r>
    </w:p>
    <w:p>
      <w:pPr>
        <w:pStyle w:val="ListBullet"/>
      </w:pPr>
      <w:r>
        <w:t>Les tâches asynchrones transportent l’identité de l’organisation et l’autorisation.</w:t>
      </w:r>
    </w:p>
    <w:p>
      <w:pPr>
        <w:pStyle w:val="ListBullet"/>
      </w:pPr>
      <w:r>
        <w:t>Les exports et sauvegardes sont auditables.</w:t>
      </w:r>
    </w:p>
    <w:p>
      <w:pPr>
        <w:pStyle w:val="Heading1"/>
      </w:pPr>
      <w:r>
        <w:t>10. Contraintes et indexation</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Objet</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6"/>
              </w:rPr>
              <w:t>Contrainte/index</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nodes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Unique(model_version_id, code), index GIST geometry</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edges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6"/>
              </w:rPr>
              <w:t>from/to existants, longueur &gt; 0, index model_version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profile_points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Unique(edge_id, chainage), chainage ≥ 0</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strapping_points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6"/>
              </w:rPr>
              <w:t>Unique(tank_id, height), volume monotone validé applicativement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fluid_properties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Index fluid_id, property_type, temperature, pressure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samples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6"/>
              </w:rPr>
              <w:t>Index tag_id + timestamp, partitionnement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calculations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Index scenario_id, status, created_at, input_hash</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audit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6"/>
              </w:rPr>
              <w:t>Index organization, timestamp, object_id</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files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Hash unique optionnel pour déduplication</w:t>
            </w:r>
          </w:p>
        </w:tc>
      </w:tr>
    </w:tbl>
    <w:p>
      <w:pPr>
        <w:spacing w:after="40"/>
      </w:pPr>
    </w:p>
    <w:p>
      <w:pPr>
        <w:pStyle w:val="Heading1"/>
      </w:pPr>
      <w:r>
        <w:t>11. Migrations et archivage</w:t>
      </w:r>
    </w:p>
    <w:p>
      <w:pPr>
        <w:pStyle w:val="ListBullet"/>
      </w:pPr>
      <w:r>
        <w:t>Alembic gère toutes les migrations de schéma ; aucune modification manuelle en production.</w:t>
      </w:r>
    </w:p>
    <w:p>
      <w:pPr>
        <w:pStyle w:val="ListBullet"/>
      </w:pPr>
      <w:r>
        <w:t>Chaque migration est testée sur une copie représentative et possède une stratégie de sauvegarde.</w:t>
      </w:r>
    </w:p>
    <w:p>
      <w:pPr>
        <w:pStyle w:val="ListBullet"/>
      </w:pPr>
      <w:r>
        <w:t>Les migrations scientifiques sont distinctes des migrations de base : un résultat ancien reste associé à son moteur.</w:t>
      </w:r>
    </w:p>
    <w:p>
      <w:pPr>
        <w:pStyle w:val="ListBullet"/>
      </w:pPr>
      <w:r>
        <w:t>Les données volumineuses peuvent être archivées en Parquet avec métadonnées conservées en base.</w:t>
      </w:r>
    </w:p>
    <w:p>
      <w:pPr>
        <w:pStyle w:val="ListBullet"/>
      </w:pPr>
      <w:r>
        <w:t>La purge respecte les délais de rétention et les obligations contractuelles.</w:t>
      </w:r>
    </w:p>
    <w:p>
      <w:pPr>
        <w:pStyle w:val="ListBullet"/>
      </w:pPr>
      <w:r>
        <w:t>Un export complet de projet doit permettre la restauration dans une version compatible.</w:t>
      </w:r>
    </w:p>
    <w:p>
      <w:pPr>
        <w:pStyle w:val="Heading1"/>
      </w:pPr>
      <w:r>
        <w:t>12. Exemple de paquet d’entrée canonique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Section</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Contenu</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manifest</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schema_version, project_id, model_version, scenario, engine_version, hashes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units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SI + unités d’origine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fluid</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propriétés résolues et sources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network</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nodes, edges, profile, components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equipment</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courbes et états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boundary_conditions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pressions, débits, niveaux, demandes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rules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rule_set ids et paramètres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solver</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méthodes, tolérances, limites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provenance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utilisateur, date, fichiers et transformations</w:t>
            </w:r>
          </w:p>
        </w:tc>
      </w:tr>
    </w:tbl>
    <w:p>
      <w:pPr>
        <w:spacing w:after="40"/>
      </w:pPr>
    </w:p>
    <w:p>
      <w:pPr>
        <w:pStyle w:val="Heading1"/>
      </w:pPr>
      <w:r>
        <w:t>Sources et références</w:t>
      </w:r>
    </w:p>
    <w:p>
      <w:pPr>
        <w:pStyle w:val="ListBullet"/>
      </w:pPr>
      <w:r>
        <w:t>D09 - Dictionnaire des données.</w:t>
      </w:r>
    </w:p>
    <w:p>
      <w:pPr>
        <w:pStyle w:val="ListBullet"/>
      </w:pPr>
      <w:r>
        <w:t>D11 - Architecture.</w:t>
      </w:r>
    </w:p>
    <w:p>
      <w:pPr>
        <w:pStyle w:val="ListBullet"/>
      </w:pPr>
      <w:r>
        <w:t>D13 - Contrats API.</w:t>
      </w:r>
    </w:p>
    <w:p>
      <w:pPr>
        <w:pStyle w:val="ListBullet"/>
      </w:pPr>
      <w:r>
        <w:t>PostgreSQL/PostGIS comme technologies de référence.</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D12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conceptuel et logique des données</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