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D15</w:t>
      </w:r>
    </w:p>
    <w:p>
      <w:pPr>
        <w:spacing w:before="160"/>
        <w:jc w:val="center"/>
      </w:pPr>
      <w:r>
        <w:rPr>
          <w:rFonts w:ascii="Liberation Sans" w:hAnsi="Liberation Sans"/>
          <w:b/>
          <w:color w:val="17365D"/>
          <w:sz w:val="52"/>
        </w:rPr>
        <w:t>Sécurité, SCADA et historisation</w:t>
      </w:r>
    </w:p>
    <w:p>
      <w:pPr>
        <w:spacing w:before="200"/>
        <w:jc w:val="center"/>
      </w:pPr>
      <w:r>
        <w:rPr>
          <w:rFonts w:ascii="Carlito" w:hAnsi="Carlito"/>
          <w:i/>
          <w:color w:val="243447"/>
          <w:sz w:val="25"/>
        </w:rPr>
        <w:t>Architecture OT/IT, protocoles, cybersécurité, qualité des données et continuité</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D15</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Architecture zones/conduits</w:t>
      </w:r>
    </w:p>
    <w:p>
      <w:pPr>
        <w:pStyle w:val="ListNumber"/>
      </w:pPr>
      <w:r>
        <w:t>Modèle de menace</w:t>
      </w:r>
    </w:p>
    <w:p>
      <w:pPr>
        <w:pStyle w:val="ListNumber"/>
      </w:pPr>
      <w:r>
        <w:t>Identités</w:t>
      </w:r>
    </w:p>
    <w:p>
      <w:pPr>
        <w:pStyle w:val="ListNumber"/>
      </w:pPr>
      <w:r>
        <w:t>Réseau</w:t>
      </w:r>
    </w:p>
    <w:p>
      <w:pPr>
        <w:pStyle w:val="ListNumber"/>
      </w:pPr>
      <w:r>
        <w:t>Connecteurs</w:t>
      </w:r>
    </w:p>
    <w:p>
      <w:pPr>
        <w:pStyle w:val="ListNumber"/>
      </w:pPr>
      <w:r>
        <w:t>OPC UA</w:t>
      </w:r>
    </w:p>
    <w:p>
      <w:pPr>
        <w:pStyle w:val="ListNumber"/>
      </w:pPr>
      <w:r>
        <w:t>Historian</w:t>
      </w:r>
    </w:p>
    <w:p>
      <w:pPr>
        <w:pStyle w:val="ListNumber"/>
      </w:pPr>
      <w:r>
        <w:t>Qualité temporelle</w:t>
      </w:r>
    </w:p>
    <w:p>
      <w:pPr>
        <w:pStyle w:val="ListNumber"/>
      </w:pPr>
      <w:r>
        <w:t>Alarmes</w:t>
      </w:r>
    </w:p>
    <w:p>
      <w:pPr>
        <w:pStyle w:val="ListNumber"/>
      </w:pPr>
      <w:r>
        <w:t>Sauvegarde</w:t>
      </w:r>
    </w:p>
    <w:p>
      <w:pPr>
        <w:pStyle w:val="ListNumber"/>
      </w:pPr>
      <w:r>
        <w:t>Incident</w:t>
      </w:r>
    </w:p>
    <w:p>
      <w:pPr>
        <w:pStyle w:val="ListNumber"/>
      </w:pPr>
      <w:r>
        <w:t>Exigences MVP</w:t>
      </w:r>
    </w:p>
    <w:p>
      <w:pPr>
        <w:pStyle w:val="ListNumber"/>
      </w:pPr>
      <w:r>
        <w:t>Feuille de route</w:t>
      </w:r>
    </w:p>
    <w:p>
      <w:r>
        <w:rPr>
          <w:i/>
          <w:color w:val="6B7785"/>
          <w:sz w:val="17"/>
        </w:rPr>
        <w:t>La pagination peut évoluer après validation et mise en forme finale dans Microsoft Word ou LibreOffice.</w:t>
      </w:r>
    </w:p>
    <w:p>
      <w:r>
        <w:br w:type="page"/>
      </w:r>
    </w:p>
    <w:p>
      <w:pPr>
        <w:pStyle w:val="Heading1"/>
      </w:pPr>
      <w:r>
        <w:t>1. Principes</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Principe de sécurité</w:t>
            </w:r>
          </w:p>
          <w:p>
            <w:pPr>
              <w:spacing w:after="0"/>
            </w:pPr>
            <w:r>
              <w:rPr>
                <w:rFonts w:ascii="Carlito" w:hAnsi="Carlito"/>
                <w:color w:val="243447"/>
                <w:sz w:val="19"/>
              </w:rPr>
              <w:t>Le MVP n’écrit jamais dans le SCADA, le PLC, le RTU, le SIS ou l’ESD. Les données industrielles sont lues via une passerelle isolée et répliquées vers la plateforme.</w:t>
            </w:r>
          </w:p>
        </w:tc>
      </w:tr>
    </w:tbl>
    <w:p>
      <w:pPr>
        <w:spacing w:after="20"/>
      </w:pPr>
    </w:p>
    <w:p>
      <w:pPr>
        <w:pStyle w:val="ListBullet"/>
      </w:pPr>
      <w:r>
        <w:t>Séparation des réseaux OT, DMZ industrielle et IT.</w:t>
      </w:r>
    </w:p>
    <w:p>
      <w:pPr>
        <w:pStyle w:val="ListBullet"/>
      </w:pPr>
      <w:r>
        <w:t>Moindre privilège, comptes de service dédiés et certificats.</w:t>
      </w:r>
    </w:p>
    <w:p>
      <w:pPr>
        <w:pStyle w:val="ListBullet"/>
      </w:pPr>
      <w:r>
        <w:t>Aucune dépendance Internet obligatoire sur le site.</w:t>
      </w:r>
    </w:p>
    <w:p>
      <w:pPr>
        <w:pStyle w:val="ListBullet"/>
      </w:pPr>
      <w:r>
        <w:t>Traçabilité des données de la source jusqu’au calcul.</w:t>
      </w:r>
    </w:p>
    <w:p>
      <w:pPr>
        <w:pStyle w:val="ListBullet"/>
      </w:pPr>
      <w:r>
        <w:t>Synchronisation temporelle et codes qualité obligatoires.</w:t>
      </w:r>
    </w:p>
    <w:p>
      <w:pPr>
        <w:pStyle w:val="ListBullet"/>
      </w:pPr>
      <w:r>
        <w:t>Défense en profondeur inspirée d’IEC 62443.</w:t>
      </w:r>
    </w:p>
    <w:p>
      <w:pPr>
        <w:pStyle w:val="ListBullet"/>
      </w:pPr>
      <w:r>
        <w:t>Les fonctions de sécurité instrumentée restent dans les systèmes certifiés.</w:t>
      </w:r>
    </w:p>
    <w:p>
      <w:pPr>
        <w:pStyle w:val="Heading1"/>
      </w:pPr>
      <w:r>
        <w:t>2. Architecture de zones et conduits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vAlign w:val="center"/>
            <w:tcMar>
              <w:top w:w="80" w:type="dxa"/>
              <w:start w:w="90" w:type="dxa"/>
              <w:bottom w:w="80" w:type="dxa"/>
              <w:end w:w="90" w:type="dxa"/>
            </w:tcMar>
            <w:shd w:fill="17365D"/>
          </w:tcPr>
          <w:p>
            <w:pPr>
              <w:spacing w:after="0"/>
            </w:pPr>
            <w:r/>
            <w:r>
              <w:rPr>
                <w:rFonts w:ascii="Carlito" w:hAnsi="Carlito" w:eastAsia="Carlito"/>
                <w:b/>
                <w:color w:val="FFFFFF"/>
                <w:sz w:val="16"/>
              </w:rPr>
              <w:t>Zone</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Contenu</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Flux autorisés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Zone terrain</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Capteurs, actionneurs, PLC, RTU</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Vers contrôle selon architecture opérateur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Zone contrôle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SCADA/HMI, serveurs temps réel</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Flux nécessaires vers DMZ</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SIS/ESD</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Systèmes de sécurité</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Aucun accès direct depuis la plateforme</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DMZ industrielle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OPC proxy, réplication historian, bastion</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Flux filtrés et unidirectionnels si possible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Zone analytique locale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Passerelle de la plateforme et cache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Lecture depuis DMZ, envoi contrôlé vers serveur</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Zone application</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API, worker, base, frontend</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Aucun accès direct au PLC</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Zone utilisateurs</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Navigateurs et postes ingénieurs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HTTPS vers application</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Cloud futur</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Services autorisés</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VPN/liaison chiffrée et politique de données</w:t>
            </w:r>
          </w:p>
        </w:tc>
      </w:tr>
    </w:tbl>
    <w:p>
      <w:pPr>
        <w:spacing w:after="40"/>
      </w:pPr>
    </w:p>
    <w:p>
      <w:pPr>
        <w:pStyle w:val="Heading1"/>
      </w:pPr>
      <w:r>
        <w:t>3. Modèle de menace synthétique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Menace</w:t>
            </w:r>
          </w:p>
        </w:tc>
        <w:tc>
          <w:tcPr>
            <w:tcW w:type="dxa" w:w="2721"/>
            <w:vAlign w:val="center"/>
            <w:tcMar>
              <w:top w:w="80" w:type="dxa"/>
              <w:start w:w="90" w:type="dxa"/>
              <w:bottom w:w="80" w:type="dxa"/>
              <w:end w:w="90" w:type="dxa"/>
            </w:tcMar>
            <w:shd w:fill="17365D"/>
          </w:tcPr>
          <w:p>
            <w:pPr>
              <w:spacing w:after="0"/>
            </w:pPr>
            <w:r/>
            <w:r>
              <w:rPr>
                <w:rFonts w:ascii="Carlito" w:hAnsi="Carlito" w:eastAsia="Carlito"/>
                <w:b/>
                <w:color w:val="FFFFFF"/>
                <w:sz w:val="16"/>
              </w:rPr>
              <w:t>Impact</w:t>
            </w:r>
          </w:p>
        </w:tc>
        <w:tc>
          <w:tcPr>
            <w:tcW w:type="dxa" w:w="4422"/>
            <w:vAlign w:val="center"/>
            <w:tcMar>
              <w:top w:w="80" w:type="dxa"/>
              <w:start w:w="90" w:type="dxa"/>
              <w:bottom w:w="80" w:type="dxa"/>
              <w:end w:w="90" w:type="dxa"/>
            </w:tcMar>
            <w:shd w:fill="17365D"/>
          </w:tcPr>
          <w:p>
            <w:pPr>
              <w:spacing w:after="0"/>
            </w:pPr>
            <w:r/>
            <w:r>
              <w:rPr>
                <w:rFonts w:ascii="Carlito" w:hAnsi="Carlito" w:eastAsia="Carlito"/>
                <w:b/>
                <w:color w:val="FFFFFF"/>
                <w:sz w:val="16"/>
              </w:rPr>
              <w:t>Mesures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Compte compromis</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aux projets/données</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6"/>
              </w:rPr>
              <w:t>MFA admin, RBAC, session, audit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API vulnérable</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Exfiltration ou modification</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6"/>
              </w:rPr>
              <w:t>Validation, authz, rate limit, tests OWASP</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Dépendance compromise</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Code malveillant</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6"/>
              </w:rPr>
              <w:t>SBOM, pinning, scan, revue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Passerelle OT compromise</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Pivot vers contrôle</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6"/>
              </w:rPr>
              <w:t>DMZ, lecture seule, allow-list, durcissement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falsifiées</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Mauvaise décision</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6"/>
              </w:rPr>
              <w:t>Signature/hash, qualité, comparaison physique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Horloge désynchronisée</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Erreur de bilan/fuite</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6"/>
              </w:rPr>
              <w:t>NTP/PTP surveillé, timestamps doubles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Ransomware</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Indisponibilité/perte</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6"/>
              </w:rPr>
              <w:t>Sauvegardes hors ligne, restauration testée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Déni de service calcul</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Saturation CPU/files</w:t>
            </w:r>
          </w:p>
        </w:tc>
        <w:tc>
          <w:tcPr>
            <w:tcW w:type="dxa" w:w="4422"/>
            <w:vAlign w:val="center"/>
            <w:tcMar>
              <w:top w:w="80" w:type="dxa"/>
              <w:start w:w="90" w:type="dxa"/>
              <w:bottom w:w="80" w:type="dxa"/>
              <w:end w:w="90" w:type="dxa"/>
            </w:tcMar>
          </w:tcPr>
          <w:p>
            <w:pPr>
              <w:spacing w:after="0"/>
            </w:pPr>
            <w:r/>
            <w:r>
              <w:rPr>
                <w:rFonts w:ascii="Carlito" w:hAnsi="Carlito" w:eastAsia="Carlito"/>
                <w:b w:val="0"/>
                <w:color w:val="243447"/>
                <w:sz w:val="16"/>
              </w:rPr>
              <w:t>Quotas, file, limites et priorités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Rapport falsifié</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Décision non traçable</w:t>
            </w:r>
          </w:p>
        </w:tc>
        <w:tc>
          <w:tcPr>
            <w:tcW w:type="dxa" w:w="4422"/>
            <w:vAlign w:val="center"/>
            <w:tcMar>
              <w:top w:w="80" w:type="dxa"/>
              <w:start w:w="90" w:type="dxa"/>
              <w:bottom w:w="80" w:type="dxa"/>
              <w:end w:w="90" w:type="dxa"/>
            </w:tcMar>
            <w:shd w:fill="F2F2F2"/>
          </w:tcPr>
          <w:p>
            <w:pPr>
              <w:spacing w:after="0"/>
            </w:pPr>
            <w:r/>
            <w:r>
              <w:rPr>
                <w:rFonts w:ascii="Carlito" w:hAnsi="Carlito" w:eastAsia="Carlito"/>
                <w:b w:val="0"/>
                <w:color w:val="243447"/>
                <w:sz w:val="16"/>
              </w:rPr>
              <w:t>Hash, signature/approbation, audit</w:t>
            </w:r>
          </w:p>
        </w:tc>
      </w:tr>
    </w:tbl>
    <w:p>
      <w:pPr>
        <w:spacing w:after="40"/>
      </w:pPr>
    </w:p>
    <w:p>
      <w:pPr>
        <w:pStyle w:val="Heading1"/>
      </w:pPr>
      <w:r>
        <w:t>4. Identités et secrets</w:t>
      </w:r>
    </w:p>
    <w:p>
      <w:pPr>
        <w:pStyle w:val="ListBullet"/>
      </w:pPr>
      <w:r>
        <w:t>Comptes nominatifs pour les humains ; comptes de service pour les connecteurs.</w:t>
      </w:r>
    </w:p>
    <w:p>
      <w:pPr>
        <w:pStyle w:val="ListBullet"/>
      </w:pPr>
      <w:r>
        <w:t>MFA obligatoire pour administrateurs avant le pilote.</w:t>
      </w:r>
    </w:p>
    <w:p>
      <w:pPr>
        <w:pStyle w:val="ListBullet"/>
      </w:pPr>
      <w:r>
        <w:t>OIDC/annuaire d’entreprise privilégié lors d’un déploiement industriel.</w:t>
      </w:r>
    </w:p>
    <w:p>
      <w:pPr>
        <w:pStyle w:val="ListBullet"/>
      </w:pPr>
      <w:r>
        <w:t>Certificats OPC UA gérés avec liste de confiance et révocation.</w:t>
      </w:r>
    </w:p>
    <w:p>
      <w:pPr>
        <w:pStyle w:val="ListBullet"/>
      </w:pPr>
      <w:r>
        <w:t>Secrets stockés dans un secret manager ou fichiers chiffrés, jamais dans Git.</w:t>
      </w:r>
    </w:p>
    <w:p>
      <w:pPr>
        <w:pStyle w:val="ListBullet"/>
      </w:pPr>
      <w:r>
        <w:t>Rotation documentée des clés, mots de passe et certificats.</w:t>
      </w:r>
    </w:p>
    <w:p>
      <w:pPr>
        <w:pStyle w:val="ListBullet"/>
      </w:pPr>
      <w:r>
        <w:t>Scopes minimaux : un connecteur ne peut pas administrer les projets.</w:t>
      </w:r>
    </w:p>
    <w:p>
      <w:pPr>
        <w:pStyle w:val="Heading1"/>
      </w:pPr>
      <w:r>
        <w:t>5. Sécurité réseau et hôte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Contrôle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MVP/Pilote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TLS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Obligatoire pour web/API ; certificats internes ou publics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Pare-feu</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Allow-list des flux et ports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Durcissement</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Images minimales, utilisateur non root, patching</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Segmentation</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Base non exposée aux utilisateurs ; worker séparé</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Accès administration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VPN/bastion et journalisation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Sortie Internet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Interdite ou proxifiée selon site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Antimalware/EDR</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Selon politique de l’opérateur</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Scan conteneur</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À chaque build/release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Rate limiting</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Authentification, uploads et calculs</w:t>
            </w:r>
          </w:p>
        </w:tc>
      </w:tr>
    </w:tbl>
    <w:p>
      <w:pPr>
        <w:spacing w:after="40"/>
      </w:pPr>
    </w:p>
    <w:p>
      <w:pPr>
        <w:pStyle w:val="Heading1"/>
      </w:pPr>
      <w:r>
        <w:t>6. Connecteurs et passerelle industrielle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Fonction</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Exigence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Configuration</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Tags, unités, fréquence et qualité validés avant activation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Lecture seule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Aucune méthode write/call vers les actifs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Buffer local</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Résister aux coupures sans perdre l’ordre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Déduplication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Sequence/checkpoint et idempotence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Normalisation</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Conversion SI après conservation brute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Supervision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État de connexion, latence, pertes et certificat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Mise à jour</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Procédure contrôlée et rollback</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Audit</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Qui a modifié la configuration et quand</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Fail-safe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Arrêt du connecteur sans impact sur le contrôle du procédé</w:t>
            </w:r>
          </w:p>
        </w:tc>
      </w:tr>
    </w:tbl>
    <w:p>
      <w:pPr>
        <w:spacing w:after="40"/>
      </w:pPr>
    </w:p>
    <w:p>
      <w:pPr>
        <w:pStyle w:val="Heading1"/>
      </w:pPr>
      <w:r>
        <w:t>7. OPC UA</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Décision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Mode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Client OPC UA de la passerelle vers serveur/proxy opérateur</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Sécurité</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SignAndEncrypt, politique approuvée, certificats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Découverte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Configuration contrôlée, pas de découverte non filtrée en production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Souscriptions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Sampling et publishing adaptés au besoin, files dimensionnées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Qualité</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Conserver StatusCode complet ou mapping réversible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Horodatage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SourceTimestamp et ServerTimestamp</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Reconnexion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Backoff, reprise et indication de trou</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Namespaces</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URI et NodeId, ne pas dépendre seulement d’un index numérique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Historique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Préférer historian/réplication plutôt que surcharge du serveur temps réel</w:t>
            </w:r>
          </w:p>
        </w:tc>
      </w:tr>
    </w:tbl>
    <w:p>
      <w:pPr>
        <w:spacing w:after="40"/>
      </w:pPr>
    </w:p>
    <w:p>
      <w:pPr>
        <w:pStyle w:val="Heading1"/>
      </w:pPr>
      <w:r>
        <w:t>8. Historisation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Phase</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Solution</w:t>
            </w:r>
          </w:p>
        </w:tc>
        <w:tc>
          <w:tcPr>
            <w:tcW w:type="dxa" w:w="4195"/>
            <w:vAlign w:val="center"/>
            <w:tcMar>
              <w:top w:w="80" w:type="dxa"/>
              <w:start w:w="90" w:type="dxa"/>
              <w:bottom w:w="80" w:type="dxa"/>
              <w:end w:w="90" w:type="dxa"/>
            </w:tcMar>
            <w:shd w:fill="17365D"/>
          </w:tcPr>
          <w:p>
            <w:pPr>
              <w:spacing w:after="0"/>
            </w:pPr>
            <w:r/>
            <w:r>
              <w:rPr>
                <w:rFonts w:ascii="Carlito" w:hAnsi="Carlito" w:eastAsia="Carlito"/>
                <w:b/>
                <w:color w:val="FFFFFF"/>
                <w:sz w:val="16"/>
              </w:rPr>
              <w:t>Critère de passage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PostgreSQL partitionné</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de démonstration et imports limités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Pilote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PostgreSQL/TimescaleDB selon benchmark</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Volume de tags et requêtes connu</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Multi-sites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TimescaleDB ou Apache IoTDB</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d’ingestion, compression et edge-cloud</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Intégration opérateur</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Lecture de l’historian existant</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Éviter la duplication inutile</w:t>
            </w:r>
          </w:p>
        </w:tc>
      </w:tr>
    </w:tbl>
    <w:p>
      <w:pPr>
        <w:spacing w:after="40"/>
      </w:pPr>
    </w:p>
    <w:p>
      <w:r>
        <w:rPr>
          <w:i w:val="0"/>
        </w:rPr>
        <w:t>La plateforme ne cherche pas à remplacer immédiatement l’historian industriel. Elle peut conserver un sous-ensemble analytique, les données nécessaires aux calculs et les résultats dérivés, tout en gardant une référence vers la source officielle.</w:t>
      </w:r>
    </w:p>
    <w:p>
      <w:pPr>
        <w:pStyle w:val="Heading1"/>
      </w:pPr>
      <w:r>
        <w:t>9. Qualité temporelle et des mesures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Contrôle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Indicateur</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Synchronisation</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Offset horloge par source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Latence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ingest_ts - source_ts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Complétude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Échantillons reçus/attendus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Ordre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Séquences hors ordre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Qualité</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Pourcentage good/uncertain/bad</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Stagnation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Durée sans variation significative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Sauts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Variation au-delà de la physique/plage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Biais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Écart persistant au modèle ou capteur redondant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Calibration</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Date d’échéance et statut</w:t>
            </w:r>
          </w:p>
        </w:tc>
      </w:tr>
    </w:tbl>
    <w:p>
      <w:pPr>
        <w:spacing w:after="40"/>
      </w:pPr>
    </w:p>
    <w:p>
      <w:pPr>
        <w:pStyle w:val="Heading1"/>
      </w:pPr>
      <w:r>
        <w:t>10. Alarmes et événements</w:t>
      </w:r>
    </w:p>
    <w:p>
      <w:pPr>
        <w:pStyle w:val="ListBullet"/>
      </w:pPr>
      <w:r>
        <w:t>La plateforme importe les alarmes sans devenir le système maître de gestion des alarmes.</w:t>
      </w:r>
    </w:p>
    <w:p>
      <w:pPr>
        <w:pStyle w:val="ListBullet"/>
      </w:pPr>
      <w:r>
        <w:t>Chaque événement conserve source, priorité, état, acquittement et chronologie si disponible.</w:t>
      </w:r>
    </w:p>
    <w:p>
      <w:pPr>
        <w:pStyle w:val="ListBullet"/>
      </w:pPr>
      <w:r>
        <w:t>Les alertes analytiques sont clairement distinguées des alarmes de contrôle.</w:t>
      </w:r>
    </w:p>
    <w:p>
      <w:pPr>
        <w:pStyle w:val="ListBullet"/>
      </w:pPr>
      <w:r>
        <w:t>Les seuils analytiques sont versionnés et leurs faux positifs suivis.</w:t>
      </w:r>
    </w:p>
    <w:p>
      <w:pPr>
        <w:pStyle w:val="ListBullet"/>
      </w:pPr>
      <w:r>
        <w:t>Les principes ISA-18.2/IEC 62682 guident la rationalisation future.</w:t>
      </w:r>
    </w:p>
    <w:p>
      <w:pPr>
        <w:pStyle w:val="ListBullet"/>
      </w:pPr>
      <w:r>
        <w:t>Une alerte de fuite reste une suspicion nécessitant une procédure opérateur.</w:t>
      </w:r>
    </w:p>
    <w:p>
      <w:pPr>
        <w:pStyle w:val="Heading1"/>
      </w:pPr>
      <w:r>
        <w:t>11. Sauvegarde, reprise et continuité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Plan</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PostgreSQL</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Sauvegarde complète + WAL selon criticité future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Stockage objet</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Versioning ou sauvegarde séparée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Configurations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Git privé + sauvegarde des secrets séparée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Certificats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Inventaire, sauvegarde chiffrée et procédures de remplacement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Passerelle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Image/configuration reproductible ; cache rejouable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Tests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Restauration trimestrielle au pilote, plus fréquente en production</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Mode dégradé</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La perte de la plateforme ne doit pas arrêter le procédé</w:t>
            </w:r>
          </w:p>
        </w:tc>
      </w:tr>
    </w:tbl>
    <w:p>
      <w:pPr>
        <w:spacing w:after="40"/>
      </w:pPr>
    </w:p>
    <w:p>
      <w:pPr>
        <w:pStyle w:val="Heading1"/>
      </w:pPr>
      <w:r>
        <w:t>12. Réponse aux incidents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7"/>
              </w:rPr>
              <w:t>Phase</w:t>
            </w:r>
          </w:p>
        </w:tc>
        <w:tc>
          <w:tcPr>
            <w:tcW w:type="dxa" w:w="7483"/>
            <w:vAlign w:val="center"/>
            <w:tcMar>
              <w:top w:w="80" w:type="dxa"/>
              <w:start w:w="90" w:type="dxa"/>
              <w:bottom w:w="80" w:type="dxa"/>
              <w:end w:w="90" w:type="dxa"/>
            </w:tcMar>
            <w:shd w:fill="17365D"/>
          </w:tcPr>
          <w:p>
            <w:pPr>
              <w:spacing w:after="0"/>
            </w:pPr>
            <w:r/>
            <w:r>
              <w:rPr>
                <w:rFonts w:ascii="Carlito" w:hAnsi="Carlito" w:eastAsia="Carlito"/>
                <w:b/>
                <w:color w:val="FFFFFF"/>
                <w:sz w:val="17"/>
              </w:rPr>
              <w:t>Actions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Détecter</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Alertes, logs, EDR, anomalies et signalement utilisateur</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Contenir</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Révoquer compte/certificat, isoler service, préserver OT</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Préserver</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Logs, snapshots, hashes et chronologie</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Éradiquer</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Corriger vulnérabilité et dépendances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Restaurer</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Depuis sauvegarde vérifiée, surveiller</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7"/>
              </w:rPr>
              <w:t>Apprendre</w:t>
            </w:r>
          </w:p>
        </w:tc>
        <w:tc>
          <w:tcPr>
            <w:tcW w:type="dxa" w:w="7483"/>
            <w:vAlign w:val="center"/>
            <w:tcMar>
              <w:top w:w="80" w:type="dxa"/>
              <w:start w:w="90" w:type="dxa"/>
              <w:bottom w:w="80" w:type="dxa"/>
              <w:end w:w="90" w:type="dxa"/>
            </w:tcMar>
          </w:tcPr>
          <w:p>
            <w:pPr>
              <w:spacing w:after="0"/>
            </w:pPr>
            <w:r/>
            <w:r>
              <w:rPr>
                <w:rFonts w:ascii="Carlito" w:hAnsi="Carlito" w:eastAsia="Carlito"/>
                <w:b w:val="0"/>
                <w:color w:val="243447"/>
                <w:sz w:val="17"/>
              </w:rPr>
              <w:t>Post-mortem sans blâme, actions et mise à jour des risques</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7"/>
              </w:rPr>
              <w:t>Notifier</w:t>
            </w:r>
          </w:p>
        </w:tc>
        <w:tc>
          <w:tcPr>
            <w:tcW w:type="dxa" w:w="7483"/>
            <w:vAlign w:val="center"/>
            <w:tcMar>
              <w:top w:w="80" w:type="dxa"/>
              <w:start w:w="90" w:type="dxa"/>
              <w:bottom w:w="80" w:type="dxa"/>
              <w:end w:w="90" w:type="dxa"/>
            </w:tcMar>
            <w:shd w:fill="F2F2F2"/>
          </w:tcPr>
          <w:p>
            <w:pPr>
              <w:spacing w:after="0"/>
            </w:pPr>
            <w:r/>
            <w:r>
              <w:rPr>
                <w:rFonts w:ascii="Carlito" w:hAnsi="Carlito" w:eastAsia="Carlito"/>
                <w:b w:val="0"/>
                <w:color w:val="243447"/>
                <w:sz w:val="17"/>
              </w:rPr>
              <w:t>Selon contrat, réglementation et responsable de traitement</w:t>
            </w:r>
          </w:p>
        </w:tc>
      </w:tr>
    </w:tbl>
    <w:p>
      <w:pPr>
        <w:spacing w:after="40"/>
      </w:pPr>
    </w:p>
    <w:p>
      <w:pPr>
        <w:pStyle w:val="Heading1"/>
      </w:pPr>
      <w:r>
        <w:t>13. Exigences de sortie MVP</w:t>
      </w:r>
    </w:p>
    <w:p>
      <w:pPr>
        <w:pStyle w:val="ListBullet"/>
      </w:pPr>
      <w:r>
        <w:t>Application HTTPS, RBAC, audit et sauvegarde.</w:t>
      </w:r>
    </w:p>
    <w:p>
      <w:pPr>
        <w:pStyle w:val="ListBullet"/>
      </w:pPr>
      <w:r>
        <w:t>Aucun endpoint de commande industrielle.</w:t>
      </w:r>
    </w:p>
    <w:p>
      <w:pPr>
        <w:pStyle w:val="ListBullet"/>
      </w:pPr>
      <w:r>
        <w:t>Imports historiques par fichiers avec codes qualité.</w:t>
      </w:r>
    </w:p>
    <w:p>
      <w:pPr>
        <w:pStyle w:val="ListBullet"/>
      </w:pPr>
      <w:r>
        <w:t>Architecture documentée pour une passerelle OPC UA future.</w:t>
      </w:r>
    </w:p>
    <w:p>
      <w:pPr>
        <w:pStyle w:val="ListBullet"/>
      </w:pPr>
      <w:r>
        <w:t>Scan de dépendances et images en CI.</w:t>
      </w:r>
    </w:p>
    <w:p>
      <w:pPr>
        <w:pStyle w:val="ListBullet"/>
      </w:pPr>
      <w:r>
        <w:t>Test de restauration réussi.</w:t>
      </w:r>
    </w:p>
    <w:p>
      <w:pPr>
        <w:pStyle w:val="ListBullet"/>
      </w:pPr>
      <w:r>
        <w:t>Journal scientifique distinct et corrélation de bout en bout.</w:t>
      </w:r>
    </w:p>
    <w:p>
      <w:pPr>
        <w:pStyle w:val="ListBullet"/>
      </w:pPr>
      <w:r>
        <w:t>Checklist de sécurité avant démonstration ou pilote.</w:t>
      </w:r>
    </w:p>
    <w:p>
      <w:pPr>
        <w:pStyle w:val="Heading1"/>
      </w:pPr>
      <w:r>
        <w:t>14. Feuille de route OT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7710"/>
            <w:vAlign w:val="center"/>
            <w:tcMar>
              <w:top w:w="80" w:type="dxa"/>
              <w:start w:w="90" w:type="dxa"/>
              <w:bottom w:w="80" w:type="dxa"/>
              <w:end w:w="90" w:type="dxa"/>
            </w:tcMar>
            <w:shd w:fill="17365D"/>
          </w:tcPr>
          <w:p>
            <w:pPr>
              <w:spacing w:after="0"/>
            </w:pPr>
            <w:r/>
            <w:r>
              <w:rPr>
                <w:rFonts w:ascii="Carlito" w:hAnsi="Carlito" w:eastAsia="Carlito"/>
                <w:b/>
                <w:color w:val="FFFFFF"/>
                <w:sz w:val="17"/>
              </w:rPr>
              <w:t>Livrable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OT-0</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Atelier avec l’opérateur : architecture, protocoles, politiques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OT-1</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POC hors ligne sur simulateur OPC UA</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OT-2</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Passerelle en laboratoire et tests de sécurité</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OT-3</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Connexion à une réplique/historian de test</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OT-4</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Pilote en lecture seule en DMZ</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OT-5</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Qualification disponibilité et données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OT-6</w:t>
            </w:r>
          </w:p>
        </w:tc>
        <w:tc>
          <w:tcPr>
            <w:tcW w:type="dxa" w:w="7710"/>
            <w:vAlign w:val="center"/>
            <w:tcMar>
              <w:top w:w="80" w:type="dxa"/>
              <w:start w:w="90" w:type="dxa"/>
              <w:bottom w:w="80" w:type="dxa"/>
              <w:end w:w="90" w:type="dxa"/>
            </w:tcMar>
            <w:shd w:fill="F2F2F2"/>
          </w:tcPr>
          <w:p>
            <w:pPr>
              <w:spacing w:after="0"/>
            </w:pPr>
            <w:r/>
            <w:r>
              <w:rPr>
                <w:rFonts w:ascii="Carlito" w:hAnsi="Carlito" w:eastAsia="Carlito"/>
                <w:b w:val="0"/>
                <w:color w:val="243447"/>
                <w:sz w:val="17"/>
              </w:rPr>
              <w:t>RTTM et analytics quasi temps réel</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OT-7</w:t>
            </w:r>
          </w:p>
        </w:tc>
        <w:tc>
          <w:tcPr>
            <w:tcW w:type="dxa" w:w="7710"/>
            <w:vAlign w:val="center"/>
            <w:tcMar>
              <w:top w:w="80" w:type="dxa"/>
              <w:start w:w="90" w:type="dxa"/>
              <w:bottom w:w="80" w:type="dxa"/>
              <w:end w:w="90" w:type="dxa"/>
            </w:tcMar>
          </w:tcPr>
          <w:p>
            <w:pPr>
              <w:spacing w:after="0"/>
            </w:pPr>
            <w:r/>
            <w:r>
              <w:rPr>
                <w:rFonts w:ascii="Carlito" w:hAnsi="Carlito" w:eastAsia="Carlito"/>
                <w:b w:val="0"/>
                <w:color w:val="243447"/>
                <w:sz w:val="17"/>
              </w:rPr>
              <w:t>Toute interaction de contrôle fait l’objet d’un projet séparé IEC 61511/62443</w:t>
            </w:r>
          </w:p>
        </w:tc>
      </w:tr>
    </w:tbl>
    <w:p>
      <w:pPr>
        <w:spacing w:after="40"/>
      </w:pPr>
    </w:p>
    <w:p>
      <w:pPr>
        <w:pStyle w:val="Heading1"/>
      </w:pPr>
      <w:r>
        <w:t>Sources et références</w:t>
      </w:r>
    </w:p>
    <w:p>
      <w:pPr>
        <w:pStyle w:val="ListBullet"/>
      </w:pPr>
      <w:r>
        <w:t>IEC 62443 pour la cybersécurité industrielle.</w:t>
      </w:r>
    </w:p>
    <w:p>
      <w:pPr>
        <w:pStyle w:val="ListBullet"/>
      </w:pPr>
      <w:r>
        <w:t>IEC 61511 pour la séparation et le cycle de vie de la sécurité instrumentée.</w:t>
      </w:r>
    </w:p>
    <w:p>
      <w:pPr>
        <w:pStyle w:val="ListBullet"/>
      </w:pPr>
      <w:r>
        <w:t>IEC 62541 pour OPC UA et ISA-18.2/IEC 62682 pour les alarmes.</w:t>
      </w:r>
    </w:p>
    <w:p>
      <w:pPr>
        <w:pStyle w:val="ListBullet"/>
      </w:pPr>
      <w:r>
        <w:t>D11 à D14 pour architecture, données, API et licences.</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D15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SCADA et historisation</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