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64A56"/>
          <w:sz w:val="40"/>
          <w:szCs w:val="40"/>
        </w:rPr>
        <w:t xml:space="preserve">Freight Rate Prediction — ML Assessment Report</w:t>
      </w:r>
    </w:p>
    <w:p>
      <w:pPr>
        <w:pBdr>
          <w:bottom w:val="single" w:color="9DAFB3" w:sz="6"/>
        </w:pBdr>
        <w:spacing w:after="280"/>
      </w:pPr>
      <w:r>
        <w:rPr>
          <w:color w:val="455A60"/>
          <w:sz w:val="22"/>
          <w:szCs w:val="22"/>
        </w:rPr>
        <w:t xml:space="preserve">LightGBM model · 48,000 labeled loads (Jan–Oct 2025) · 12,000 scored loads (Nov–Dec 2025)</w:t>
      </w:r>
    </w:p>
    <w:p>
      <w:pPr>
        <w:pStyle w:val="Heading1"/>
        <w:spacing w:after="140" w:before="320"/>
      </w:pPr>
      <w:r>
        <w:rPr>
          <w:color w:val="064A56"/>
        </w:rPr>
        <w:t xml:space="preserve">1. Summary</w:t>
      </w:r>
    </w:p>
    <w:p>
      <w:pPr>
        <w:spacing w:after="120" w:line="276"/>
      </w:pPr>
      <w:r>
        <w:rPr>
          <w:sz w:val="21"/>
          <w:szCs w:val="21"/>
        </w:rPr>
        <w:t xml:space="preserve">Posted rates are modeled on </w:t>
      </w:r>
      <w:r>
        <w:rPr>
          <w:b/>
          <w:bCs/>
          <w:sz w:val="21"/>
          <w:szCs w:val="21"/>
        </w:rPr>
        <w:t xml:space="preserve">log(posted_rate)</w:t>
      </w:r>
      <w:r>
        <w:rPr>
          <w:sz w:val="21"/>
          <w:szCs w:val="21"/>
        </w:rPr>
        <w:t xml:space="preserve"> with a LightGBM gradient-boosted tree model, which on a strictly forward-in-time holdout (train Jan–Aug, predict Sep–Oct) reaches </w:t>
      </w:r>
      <w:r>
        <w:rPr>
          <w:b/>
          <w:bCs/>
          <w:sz w:val="21"/>
          <w:szCs w:val="21"/>
        </w:rPr>
        <w:t xml:space="preserve">MAE $58 / MAPE 2.5% / R² 0.967</w:t>
      </w:r>
      <w:r>
        <w:rPr>
          <w:sz w:val="21"/>
          <w:szCs w:val="21"/>
        </w:rPr>
        <w:t xml:space="preserve"> on clean rows — less than half the error of a rate-per-mile lookup baseline ($135 MAE). A tabular-foundation-model comparison on the same holdout showed a </w:t>
      </w:r>
      <w:r>
        <w:rPr>
          <w:b/>
          <w:bCs/>
          <w:sz w:val="21"/>
          <w:szCs w:val="21"/>
        </w:rPr>
        <w:t xml:space="preserve">50/50 log-space blend of LightGBM and a bagged TabPFN v2 ensemble cuts MAE a further 7%</w:t>
      </w:r>
      <w:r>
        <w:rPr>
          <w:sz w:val="21"/>
          <w:szCs w:val="21"/>
        </w:rPr>
        <w:t xml:space="preserve">, so the shipped predictions use that blend, retrained/re-contexted on all ten labeled months, for every load in validation.csv plus the fixed Lexington → Fort Wayne December lane.</w:t>
      </w:r>
    </w:p>
    <w:p>
      <w:pPr>
        <w:pStyle w:val="Heading1"/>
        <w:spacing w:after="140" w:before="320"/>
      </w:pPr>
      <w:r>
        <w:rPr>
          <w:color w:val="064A56"/>
        </w:rPr>
        <w:t xml:space="preserve">2. Data exploration — key findings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Distance dominates. </w:t>
      </w:r>
      <w:r>
        <w:rPr>
          <w:sz w:val="21"/>
          <w:szCs w:val="21"/>
        </w:rPr>
        <w:t xml:space="preserve">Correlation with posted_rate is 0.91; rate-per-mile tapers from ~$2.67 for short hauls (&lt;330 mi) to ~$1.91 beyond 2,200 mi, so the model needs the nonlinear distance shape, not a single per-mile constant.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quote_signal is a per-mile quote. </w:t>
      </w:r>
      <w:r>
        <w:rPr>
          <w:sz w:val="21"/>
          <w:szCs w:val="21"/>
        </w:rPr>
        <w:t xml:space="preserve">quote_signal × distance correlates 0.968 with the rate — the strongest engineered signal in the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market_index is a daily market state. </w:t>
      </w:r>
      <w:r>
        <w:rPr>
          <w:sz w:val="21"/>
          <w:szCs w:val="21"/>
        </w:rPr>
        <w:t xml:space="preserve">It is nearly constant within a day (per-day σ ≈ 0.025), with a clear annual cycle (peak ~1.30 in May, trough ~0.89 in September) and a strong weekly cycle (weekend dips). Daily mean market_index correlates 0.58 with daily mean rate-per-mile.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Stable secondary effects. </w:t>
      </w:r>
      <w:r>
        <w:rPr>
          <w:sz w:val="21"/>
          <w:szCs w:val="21"/>
        </w:rPr>
        <w:t xml:space="preserve">Equipment premium (Reefer $2.38 &gt; Flatbed $2.30 &gt; Dry Van $2.12 per mile), heavier loads price higher, and there is residual upward drift through the year beyond what market_index explains.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Geography is consistent. </w:t>
      </w:r>
      <w:r>
        <w:rPr>
          <w:sz w:val="21"/>
          <w:szCs w:val="21"/>
        </w:rPr>
        <w:t xml:space="preserve">Each of the 64 cities has one fixed coordinate pair; road distance ≈ 1.18 × straight-line (haversine) distance. Eight validation cities never appear in training — coordinates let the model generalize to them.</w:t>
      </w:r>
    </w:p>
    <w:p>
      <w:pPr>
        <w:pStyle w:val="Heading1"/>
        <w:spacing w:after="140" w:before="320"/>
      </w:pPr>
      <w:r>
        <w:rPr>
          <w:color w:val="064A56"/>
        </w:rPr>
        <w:t xml:space="preserve">3. Data quality issues and treatment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Sign-flipped weights (0.6%). </w:t>
      </w:r>
      <w:r>
        <w:rPr>
          <w:sz w:val="21"/>
          <w:szCs w:val="21"/>
        </w:rPr>
        <w:t xml:space="preserve">292 training rows have negative weight; their magnitude distribution matches positive rows exactly, so they are sign errors — fixed with absolute value.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Missing values. </w:t>
      </w:r>
      <w:r>
        <w:rPr>
          <w:sz w:val="21"/>
          <w:szCs w:val="21"/>
        </w:rPr>
        <w:t xml:space="preserve">weight (0.6%) is median-imputed with an indicator flag; market_index (0.8%) is imputed with its per-date mean (it is near-constant within a day), also flagged.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Corrupted labels (1.1%). </w:t>
      </w:r>
      <w:r>
        <w:rPr>
          <w:sz w:val="21"/>
          <w:szCs w:val="21"/>
        </w:rPr>
        <w:t xml:space="preserve">599 training rows have rate-per-mile outside $0.80–$6.00 (up to $14/mile, down to $0.33/mile), spread uniformly across months and equipment — consistent with random label corruption. They are dropped from training only; reported holdout metrics include them (“all rows”) and exclude them (“clean rows”).</w:t>
      </w:r>
    </w:p>
    <w:p>
      <w:pPr>
        <w:pStyle w:val="Heading1"/>
        <w:spacing w:after="140" w:before="320"/>
      </w:pPr>
      <w:r>
        <w:rPr>
          <w:color w:val="064A56"/>
        </w:rPr>
        <w:t xml:space="preserve">4. Train / validation split approach</w:t>
      </w:r>
    </w:p>
    <w:p>
      <w:pPr>
        <w:spacing w:after="120" w:line="276"/>
      </w:pPr>
      <w:r>
        <w:rPr>
          <w:sz w:val="21"/>
          <w:szCs w:val="21"/>
        </w:rPr>
        <w:t xml:space="preserve">The scored set (Nov–Dec 2025) lies strictly after every labeled load (Jan–Oct 2025), so the primary validation must test forward-in-time generalization. I hold out the </w:t>
      </w:r>
      <w:r>
        <w:rPr>
          <w:b/>
          <w:bCs/>
          <w:sz w:val="21"/>
          <w:szCs w:val="21"/>
        </w:rPr>
        <w:t xml:space="preserve">last two labeled months (Sep–Oct, ~9.5k loads) and train on Jan–Aug (~38k loads)</w:t>
      </w:r>
      <w:r>
        <w:rPr>
          <w:sz w:val="21"/>
          <w:szCs w:val="21"/>
        </w:rPr>
        <w:t xml:space="preserve">. This reproduces the real difficulty: unseen future months, market conditions that drifted from training, and early stopping tuned against future data rather than shuffled data. A shuffled 80/20 split is reported only to quantify the optimism of random splitting (MAE $46 vs $58 — a ~26% gap a random split would have hidden).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550"/>
        <w:gridCol w:w="1550"/>
        <w:gridCol w:w="1550"/>
        <w:gridCol w:w="1650"/>
      </w:tblGrid>
      <w:tr>
        <w:tc>
          <w:tcPr>
            <w:tcW w:type="dxa" w:w="3060"/>
            <w:shd w:fill="E3ED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Evaluation</w:t>
            </w:r>
          </w:p>
        </w:tc>
        <w:tc>
          <w:tcPr>
            <w:tcW w:type="dxa" w:w="1550"/>
            <w:shd w:fill="E3ED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MAE ($)</w:t>
            </w:r>
          </w:p>
        </w:tc>
        <w:tc>
          <w:tcPr>
            <w:tcW w:type="dxa" w:w="1550"/>
            <w:shd w:fill="E3ED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RMSE ($)</w:t>
            </w:r>
          </w:p>
        </w:tc>
        <w:tc>
          <w:tcPr>
            <w:tcW w:type="dxa" w:w="1550"/>
            <w:shd w:fill="E3ED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MAPE (%)</w:t>
            </w:r>
          </w:p>
        </w:tc>
        <w:tc>
          <w:tcPr>
            <w:tcW w:type="dxa" w:w="1650"/>
            <w:shd w:fill="E3ED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R²</w:t>
            </w:r>
          </w:p>
        </w:tc>
      </w:tr>
      <w:tr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Temporal holdout — all rows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103.29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631.98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4.54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0.829</w:t>
            </w:r>
          </w:p>
        </w:tc>
      </w:tr>
      <w:tr>
        <w:tc>
          <w:tcPr>
            <w:tcW w:type="dxa" w:w="306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Temporal holdout — clean rows</w:t>
            </w:r>
          </w:p>
        </w:tc>
        <w:tc>
          <w:tcPr>
            <w:tcW w:type="dxa" w:w="155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58.14</w:t>
            </w:r>
          </w:p>
        </w:tc>
        <w:tc>
          <w:tcPr>
            <w:tcW w:type="dxa" w:w="155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255.08</w:t>
            </w:r>
          </w:p>
        </w:tc>
        <w:tc>
          <w:tcPr>
            <w:tcW w:type="dxa" w:w="155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2.46</w:t>
            </w:r>
          </w:p>
        </w:tc>
        <w:tc>
          <w:tcPr>
            <w:tcW w:type="dxa" w:w="165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0.967</w:t>
            </w:r>
          </w:p>
        </w:tc>
      </w:tr>
      <w:tr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Temporal — rate-per-mile baseline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134.89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638.57</w:t>
            </w:r>
          </w:p>
        </w:tc>
        <w:tc>
          <w:tcPr>
            <w:tcW w:type="dxa" w:w="15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6.19</w:t>
            </w:r>
          </w:p>
        </w:tc>
        <w:tc>
          <w:tcPr>
            <w:tcW w:type="dxa" w:w="1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0.825</w:t>
            </w:r>
          </w:p>
        </w:tc>
      </w:tr>
      <w:tr>
        <w:tc>
          <w:tcPr>
            <w:tcW w:type="dxa" w:w="306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80/20 — clean rows</w:t>
            </w:r>
          </w:p>
        </w:tc>
        <w:tc>
          <w:tcPr>
            <w:tcW w:type="dxa" w:w="155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46.05</w:t>
            </w:r>
          </w:p>
        </w:tc>
        <w:tc>
          <w:tcPr>
            <w:tcW w:type="dxa" w:w="155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214.84</w:t>
            </w:r>
          </w:p>
        </w:tc>
        <w:tc>
          <w:tcPr>
            <w:tcW w:type="dxa" w:w="155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1.98</w:t>
            </w:r>
          </w:p>
        </w:tc>
        <w:tc>
          <w:tcPr>
            <w:tcW w:type="dxa" w:w="165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0.975</w:t>
            </w:r>
          </w:p>
        </w:tc>
      </w:tr>
    </w:tbl>
    <w:p>
      <w:pPr>
        <w:spacing w:after="160" w:before="100"/>
      </w:pPr>
      <w:r>
        <w:rPr>
          <w:i/>
          <w:iCs/>
          <w:color w:val="455A60"/>
          <w:sz w:val="19"/>
          <w:szCs w:val="19"/>
        </w:rPr>
        <w:t xml:space="preserve">“Clean rows” excludes holdout rows whose label itself is corrupted (rate-per-mile outside $0.80–$6.00); those rows are unpredictable by construction and dominate RMSE. The final boosting-round count is chosen by early stopping on the temporal holdout, then scaled proportionally when refitting on all ten months.</w:t>
      </w:r>
    </w:p>
    <w:p>
      <w:pPr>
        <w:pStyle w:val="Heading1"/>
        <w:spacing w:after="140" w:before="320"/>
      </w:pPr>
      <w:r>
        <w:rPr>
          <w:color w:val="064A56"/>
        </w:rPr>
        <w:t xml:space="preserve">5. Model and features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Model: </w:t>
      </w:r>
      <w:r>
        <w:rPr>
          <w:sz w:val="21"/>
          <w:szCs w:val="21"/>
        </w:rPr>
        <w:t xml:space="preserve">LightGBM regression on log(posted_rate) (multiplicative errors match how rates scale with distance), 127 leaves, learning rate 0.05, ~160 trees chosen by early stopping, fixed seed. </w:t>
      </w:r>
      <w:r>
        <w:rPr>
          <w:b/>
          <w:bCs/>
          <w:sz w:val="21"/>
          <w:szCs w:val="21"/>
        </w:rPr>
        <w:t xml:space="preserve">Features: </w:t>
      </w:r>
      <w:r>
        <w:rPr>
          <w:sz w:val="21"/>
          <w:szCs w:val="21"/>
        </w:rPr>
        <w:t xml:space="preserve">distance (raw, log, haversine), equipment, pickup/delivery city categoricals plus coordinates and lane bearing, cleaned weight, load-level market_index and quote_signal, pooled per-date market aggregates (daily mean and trailing 7-day mean of market_index, daily mean of quote_signal), and calendar fields (month, day-of-week, day-of-year).</w:t>
      </w:r>
    </w:p>
    <w:p>
      <w:pPr>
        <w:spacing w:after="120" w:line="276"/>
      </w:pPr>
      <w:r>
        <w:rPr>
          <w:sz w:val="21"/>
          <w:szCs w:val="21"/>
        </w:rPr>
        <w:t xml:space="preserve">Feature importance confirms the EDA story: distance features carry most of the gain, followed by equipment, quote_signal, weight, and the market/seasonality block. A linear model was rejected because the distance taper, equipment × distance interactions, and market nonlinearities are exactly what trees capture cheaply.</w:t>
      </w:r>
    </w:p>
    <w:p>
      <w:pPr>
        <w:pStyle w:val="Heading2"/>
        <w:spacing w:after="100" w:before="240"/>
      </w:pPr>
      <w:r>
        <w:rPr>
          <w:color w:val="064A56"/>
        </w:rPr>
        <w:t xml:space="preserve">5.1 Tabular foundation models (TabPFN v2, TabICL v2)</w:t>
      </w:r>
    </w:p>
    <w:p>
      <w:pPr>
        <w:spacing w:after="120" w:line="276"/>
      </w:pPr>
      <w:r>
        <w:rPr>
          <w:sz w:val="21"/>
          <w:szCs w:val="21"/>
        </w:rPr>
        <w:t xml:space="preserve">Two recent tabular foundation models were benchmarked against LightGBM on a fixed 3,000-row subsample of the same temporal holdout (identical rows for every model; clean-row metrics). TabPFN v2 is an in-context learner capped at ~10k training rows per fit, so it was applied as a bagged ensemble of four disjoint 8,000-row contexts whose log-predictions are averaged. TabICL v2 could not be evaluated in the build environment (its checkpoints are served from gated hosting the environment cannot reach); the experiment script runs it automatically wherever the weights are reachable.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500"/>
        <w:gridCol w:w="1500"/>
        <w:gridCol w:w="2600"/>
      </w:tblGrid>
      <w:tr>
        <w:tc>
          <w:tcPr>
            <w:tcW w:type="dxa" w:w="3760"/>
            <w:shd w:fill="E3ED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 (identical 3,000 holdout rows)</w:t>
            </w:r>
          </w:p>
        </w:tc>
        <w:tc>
          <w:tcPr>
            <w:tcW w:type="dxa" w:w="1500"/>
            <w:shd w:fill="E3ED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MAE ($)</w:t>
            </w:r>
          </w:p>
        </w:tc>
        <w:tc>
          <w:tcPr>
            <w:tcW w:type="dxa" w:w="1500"/>
            <w:shd w:fill="E3ED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MAPE (%)</w:t>
            </w:r>
          </w:p>
        </w:tc>
        <w:tc>
          <w:tcPr>
            <w:tcW w:type="dxa" w:w="2600"/>
            <w:shd w:fill="E3ED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63.23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76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TabPFN v2 — single 8k context</w:t>
            </w:r>
          </w:p>
        </w:tc>
        <w:tc>
          <w:tcPr>
            <w:tcW w:type="dxa" w:w="150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78.53</w:t>
            </w:r>
          </w:p>
        </w:tc>
        <w:tc>
          <w:tcPr>
            <w:tcW w:type="dxa" w:w="150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3.22</w:t>
            </w:r>
          </w:p>
        </w:tc>
        <w:tc>
          <w:tcPr>
            <w:tcW w:type="dxa" w:w="260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in-context, no training</w:t>
            </w:r>
          </w:p>
        </w:tc>
      </w:tr>
      <w:tr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TabPFN v2 — bagged 4 × 8k contexts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65.27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2.58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bagging closes most of the gap</w:t>
            </w:r>
          </w:p>
        </w:tc>
      </w:tr>
      <w:tr>
        <w:tc>
          <w:tcPr>
            <w:tcW w:type="dxa" w:w="376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Blend: 0.5·LGB + 0.5·TabPFN (log)</w:t>
            </w:r>
          </w:p>
        </w:tc>
        <w:tc>
          <w:tcPr>
            <w:tcW w:type="dxa" w:w="150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58.75</w:t>
            </w:r>
          </w:p>
        </w:tc>
        <w:tc>
          <w:tcPr>
            <w:tcW w:type="dxa" w:w="150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shd w:fill="F2F7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−7.1% MAE vs LightGBM</w:t>
            </w:r>
          </w:p>
        </w:tc>
      </w:tr>
      <w:tr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TabICL v2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weights unreachable in build env</w:t>
            </w:r>
          </w:p>
        </w:tc>
      </w:tr>
    </w:tbl>
    <w:p>
      <w:pPr>
        <w:spacing w:after="160" w:before="100"/>
      </w:pPr>
      <w:r>
        <w:rPr>
          <w:i/>
          <w:iCs/>
          <w:color w:val="455A60"/>
          <w:sz w:val="19"/>
          <w:szCs w:val="19"/>
        </w:rPr>
        <w:t xml:space="preserve">TabPFN alone does not beat a tuned LightGBM here, but its errors are decorrelated enough that the simple 50/50 log-space blend wins by ~7% MAE, with a flat optimum across blend weights 0.4–0.6 (robust, not tuned to the grid). The shipped validation_predictions.csv and December chart use this blend; src/train_predict.py reproduces the LightGBM-only outputs.</w:t>
      </w:r>
    </w:p>
    <w:p>
      <w:pPr>
        <w:pStyle w:val="Heading1"/>
        <w:spacing w:after="140" w:before="320"/>
      </w:pPr>
      <w:r>
        <w:rPr>
          <w:color w:val="064A56"/>
        </w:rPr>
        <w:t xml:space="preserve">6. Fixed December lane prediction</w:t>
      </w:r>
    </w:p>
    <w:p>
      <w:pPr>
        <w:spacing w:after="120" w:line="276"/>
      </w:pPr>
      <w:r>
        <w:rPr>
          <w:sz w:val="21"/>
          <w:szCs w:val="21"/>
        </w:rPr>
        <w:t xml:space="preserve">december_chart_inputs.csv provides no market_index or quote_signal, but validation.csv contains ~200 real December loads per day, whose features are given. For each December date, </w:t>
      </w:r>
      <w:r>
        <w:rPr>
          <w:b/>
          <w:bCs/>
          <w:sz w:val="21"/>
          <w:szCs w:val="21"/>
        </w:rPr>
        <w:t xml:space="preserve">market_index is imputed from the per-date mean of those loads</w:t>
      </w:r>
      <w:r>
        <w:rPr>
          <w:sz w:val="21"/>
          <w:szCs w:val="21"/>
        </w:rPr>
        <w:t xml:space="preserve"> (legitimate: features only, no labels involved), and the per-date market aggregates are computed the same way. </w:t>
      </w:r>
      <w:r>
        <w:rPr>
          <w:b/>
          <w:bCs/>
          <w:sz w:val="21"/>
          <w:szCs w:val="21"/>
        </w:rPr>
        <w:t xml:space="preserve">quote_signal uses the lane’s Dry Van average (2.02)</w:t>
      </w:r>
      <w:r>
        <w:rPr>
          <w:sz w:val="21"/>
          <w:szCs w:val="21"/>
        </w:rPr>
        <w:t xml:space="preserve"> from 21 historical Lexington → Fort Wayne loads, with day-to-day quote variation entering through the pooled daily aggregate. The blended predictions land at $821–$840 — inside the lane’s historical $758–$973 range — and reproduce the weekly market cycle (midweek peaks, weekend troughs).</w:t>
      </w:r>
    </w:p>
    <w:p>
      <w:pPr>
        <w:spacing w:after="60" w:before="120"/>
        <w:jc w:val="center"/>
      </w:pPr>
      <w:r>
        <w:drawing>
          <wp:inline distT="0" distB="0" distL="0" distR="0">
            <wp:extent cx="6286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55A60"/>
          <w:sz w:val="18"/>
          <w:szCs w:val="18"/>
        </w:rPr>
        <w:t xml:space="preserve">Chart produced by the provided score.py from the committed predictions.</w:t>
      </w:r>
    </w:p>
    <w:p>
      <w:pPr>
        <w:pStyle w:val="Heading1"/>
        <w:spacing w:after="140" w:before="320"/>
      </w:pPr>
      <w:r>
        <w:rPr>
          <w:color w:val="064A56"/>
        </w:rPr>
        <w:t xml:space="preserve">7. Reproducibility</w:t>
      </w:r>
    </w:p>
    <w:p>
      <w:pPr>
        <w:spacing w:after="120" w:line="276"/>
      </w:pPr>
      <w:r>
        <w:rPr>
          <w:sz w:val="21"/>
          <w:szCs w:val="21"/>
        </w:rPr>
        <w:t xml:space="preserve">GitHub repository: </w:t>
      </w:r>
      <w:r>
        <w:rPr>
          <w:b/>
          <w:bCs/>
          <w:sz w:val="21"/>
          <w:szCs w:val="21"/>
        </w:rPr>
        <w:t xml:space="preserve">bp-high/freight_rate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 xml:space="preserve">python -m pip install -r requirements.txt (plus requirements-tabfm.txt for the foundation models), then: python src/validate.py (validation experiments), python src/tabfm_experiment.py (foundation-model comparison), python src/final_blend_predict.py (shipped blend predictions; src/train_predict.py for the LightGBM-only variant), and python score.py --predictions validation_predictions.csv --december-predictions data/december_chart_inputs.csv. All randomness is seeded, and the slow TabPFN steps checkpoint their progress and resume if interrupted.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2e8f262159e42f8f8cbececee3fb6060f8b9e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2026-08-02T15:32:20.185Z</dcterms:created>
  <dcterms:modified xsi:type="dcterms:W3CDTF">2026-08-02T15:32:20.196Z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