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5188" w14:textId="77777777" w:rsidR="003A6EAB" w:rsidRPr="003A6EAB" w:rsidRDefault="003A6EAB" w:rsidP="003A6EAB">
      <w:pPr>
        <w:rPr>
          <w:b/>
          <w:bCs/>
        </w:rPr>
      </w:pPr>
      <w:r w:rsidRPr="003A6EAB">
        <w:rPr>
          <w:b/>
          <w:bCs/>
        </w:rPr>
        <w:t>1. Residual plots, uniformity (KS) and outliers</w:t>
      </w:r>
    </w:p>
    <w:tbl>
      <w:tblPr>
        <w:tblStyle w:val="TableGridLight"/>
        <w:tblW w:w="0" w:type="auto"/>
        <w:tblLook w:val="04A0" w:firstRow="1" w:lastRow="0" w:firstColumn="1" w:lastColumn="0" w:noHBand="0" w:noVBand="1"/>
      </w:tblPr>
      <w:tblGrid>
        <w:gridCol w:w="2595"/>
        <w:gridCol w:w="3953"/>
        <w:gridCol w:w="2802"/>
      </w:tblGrid>
      <w:tr w:rsidR="003A6EAB" w:rsidRPr="003A6EAB" w14:paraId="3E87693C" w14:textId="77777777" w:rsidTr="003A6EAB">
        <w:tc>
          <w:tcPr>
            <w:tcW w:w="0" w:type="auto"/>
            <w:hideMark/>
          </w:tcPr>
          <w:p w14:paraId="06B0779F" w14:textId="77777777" w:rsidR="003A6EAB" w:rsidRPr="003A6EAB" w:rsidRDefault="003A6EAB" w:rsidP="003A6EAB">
            <w:pPr>
              <w:spacing w:after="160" w:line="278" w:lineRule="auto"/>
            </w:pPr>
          </w:p>
        </w:tc>
        <w:tc>
          <w:tcPr>
            <w:tcW w:w="0" w:type="auto"/>
            <w:hideMark/>
          </w:tcPr>
          <w:p w14:paraId="3AE9BE7E" w14:textId="77777777" w:rsidR="003A6EAB" w:rsidRPr="003A6EAB" w:rsidRDefault="003A6EAB" w:rsidP="003A6EAB">
            <w:pPr>
              <w:spacing w:after="160" w:line="278" w:lineRule="auto"/>
              <w:rPr>
                <w:b/>
                <w:bCs/>
              </w:rPr>
            </w:pPr>
            <w:r w:rsidRPr="003A6EAB">
              <w:rPr>
                <w:b/>
                <w:bCs/>
              </w:rPr>
              <w:t>Well fitted</w:t>
            </w:r>
          </w:p>
        </w:tc>
        <w:tc>
          <w:tcPr>
            <w:tcW w:w="0" w:type="auto"/>
            <w:hideMark/>
          </w:tcPr>
          <w:p w14:paraId="343DB64D" w14:textId="77777777" w:rsidR="003A6EAB" w:rsidRPr="003A6EAB" w:rsidRDefault="003A6EAB" w:rsidP="003A6EAB">
            <w:pPr>
              <w:spacing w:after="160" w:line="278" w:lineRule="auto"/>
              <w:rPr>
                <w:b/>
                <w:bCs/>
              </w:rPr>
            </w:pPr>
            <w:r w:rsidRPr="003A6EAB">
              <w:rPr>
                <w:b/>
                <w:bCs/>
              </w:rPr>
              <w:t>Poorly fitted</w:t>
            </w:r>
          </w:p>
        </w:tc>
      </w:tr>
      <w:tr w:rsidR="003A6EAB" w:rsidRPr="003A6EAB" w14:paraId="561EE859" w14:textId="77777777" w:rsidTr="003A6EAB">
        <w:tc>
          <w:tcPr>
            <w:tcW w:w="0" w:type="auto"/>
            <w:hideMark/>
          </w:tcPr>
          <w:p w14:paraId="6BDD04A7" w14:textId="77777777" w:rsidR="003A6EAB" w:rsidRPr="003A6EAB" w:rsidRDefault="003A6EAB" w:rsidP="003A6EAB">
            <w:pPr>
              <w:spacing w:after="160" w:line="278" w:lineRule="auto"/>
            </w:pPr>
            <w:r w:rsidRPr="003A6EAB">
              <w:rPr>
                <w:b/>
                <w:bCs/>
              </w:rPr>
              <w:t>QQ plot</w:t>
            </w:r>
          </w:p>
        </w:tc>
        <w:tc>
          <w:tcPr>
            <w:tcW w:w="0" w:type="auto"/>
            <w:hideMark/>
          </w:tcPr>
          <w:p w14:paraId="19085D0D" w14:textId="77777777" w:rsidR="003A6EAB" w:rsidRPr="003A6EAB" w:rsidRDefault="003A6EAB" w:rsidP="003A6EAB">
            <w:pPr>
              <w:spacing w:after="160" w:line="278" w:lineRule="auto"/>
            </w:pPr>
            <w:r w:rsidRPr="003A6EAB">
              <w:t>Points fall on the diagonal</w:t>
            </w:r>
          </w:p>
        </w:tc>
        <w:tc>
          <w:tcPr>
            <w:tcW w:w="0" w:type="auto"/>
            <w:hideMark/>
          </w:tcPr>
          <w:p w14:paraId="70E6823A" w14:textId="77777777" w:rsidR="003A6EAB" w:rsidRPr="003A6EAB" w:rsidRDefault="003A6EAB" w:rsidP="003A6EAB">
            <w:pPr>
              <w:spacing w:after="160" w:line="278" w:lineRule="auto"/>
            </w:pPr>
            <w:r w:rsidRPr="003A6EAB">
              <w:t>S-shaped or bowed curve away from the line</w:t>
            </w:r>
          </w:p>
        </w:tc>
      </w:tr>
      <w:tr w:rsidR="003A6EAB" w:rsidRPr="003A6EAB" w14:paraId="79807D32" w14:textId="77777777" w:rsidTr="003A6EAB">
        <w:tc>
          <w:tcPr>
            <w:tcW w:w="0" w:type="auto"/>
            <w:hideMark/>
          </w:tcPr>
          <w:p w14:paraId="7AC49324" w14:textId="77777777" w:rsidR="003A6EAB" w:rsidRPr="003A6EAB" w:rsidRDefault="003A6EAB" w:rsidP="003A6EAB">
            <w:pPr>
              <w:spacing w:after="160" w:line="278" w:lineRule="auto"/>
            </w:pPr>
            <w:r w:rsidRPr="003A6EAB">
              <w:rPr>
                <w:b/>
                <w:bCs/>
              </w:rPr>
              <w:t>Residuals vs predicted / vs each predictor</w:t>
            </w:r>
          </w:p>
        </w:tc>
        <w:tc>
          <w:tcPr>
            <w:tcW w:w="0" w:type="auto"/>
            <w:hideMark/>
          </w:tcPr>
          <w:p w14:paraId="624DD319" w14:textId="77777777" w:rsidR="003A6EAB" w:rsidRPr="003A6EAB" w:rsidRDefault="003A6EAB" w:rsidP="003A6EAB">
            <w:pPr>
              <w:spacing w:after="160" w:line="278" w:lineRule="auto"/>
            </w:pPr>
            <w:r w:rsidRPr="003A6EAB">
              <w:t>The 0.25, 0.5 and 0.75 quantile lines are flat and sit on the dashed reference lines</w:t>
            </w:r>
          </w:p>
        </w:tc>
        <w:tc>
          <w:tcPr>
            <w:tcW w:w="0" w:type="auto"/>
            <w:hideMark/>
          </w:tcPr>
          <w:p w14:paraId="5EA84C35" w14:textId="77777777" w:rsidR="003A6EAB" w:rsidRPr="003A6EAB" w:rsidRDefault="003A6EAB" w:rsidP="003A6EAB">
            <w:pPr>
              <w:spacing w:after="160" w:line="278" w:lineRule="auto"/>
            </w:pPr>
            <w:r w:rsidRPr="003A6EAB">
              <w:t xml:space="preserve">Lines curve or fan out, or </w:t>
            </w:r>
            <w:proofErr w:type="spellStart"/>
            <w:r w:rsidRPr="003A6EAB">
              <w:t>DHARMa</w:t>
            </w:r>
            <w:proofErr w:type="spellEnd"/>
            <w:r w:rsidRPr="003A6EAB">
              <w:t xml:space="preserve"> </w:t>
            </w:r>
            <w:proofErr w:type="spellStart"/>
            <w:r w:rsidRPr="003A6EAB">
              <w:t>colours</w:t>
            </w:r>
            <w:proofErr w:type="spellEnd"/>
            <w:r w:rsidRPr="003A6EAB">
              <w:t xml:space="preserve"> them red</w:t>
            </w:r>
          </w:p>
        </w:tc>
      </w:tr>
      <w:tr w:rsidR="003A6EAB" w:rsidRPr="003A6EAB" w14:paraId="3C41B909" w14:textId="77777777" w:rsidTr="003A6EAB">
        <w:tc>
          <w:tcPr>
            <w:tcW w:w="0" w:type="auto"/>
            <w:hideMark/>
          </w:tcPr>
          <w:p w14:paraId="514FCF3D" w14:textId="77777777" w:rsidR="003A6EAB" w:rsidRPr="003A6EAB" w:rsidRDefault="003A6EAB" w:rsidP="003A6EAB">
            <w:pPr>
              <w:spacing w:after="160" w:line="278" w:lineRule="auto"/>
            </w:pPr>
            <w:r w:rsidRPr="003A6EAB">
              <w:rPr>
                <w:b/>
                <w:bCs/>
              </w:rPr>
              <w:t>Outliers</w:t>
            </w:r>
          </w:p>
        </w:tc>
        <w:tc>
          <w:tcPr>
            <w:tcW w:w="0" w:type="auto"/>
            <w:hideMark/>
          </w:tcPr>
          <w:p w14:paraId="7DCE3C89" w14:textId="77777777" w:rsidR="003A6EAB" w:rsidRPr="003A6EAB" w:rsidRDefault="003A6EAB" w:rsidP="003A6EAB">
            <w:pPr>
              <w:spacing w:after="160" w:line="278" w:lineRule="auto"/>
            </w:pPr>
            <w:r w:rsidRPr="003A6EAB">
              <w:t>Few or none</w:t>
            </w:r>
          </w:p>
        </w:tc>
        <w:tc>
          <w:tcPr>
            <w:tcW w:w="0" w:type="auto"/>
            <w:hideMark/>
          </w:tcPr>
          <w:p w14:paraId="6BF54AC1" w14:textId="77777777" w:rsidR="003A6EAB" w:rsidRPr="003A6EAB" w:rsidRDefault="003A6EAB" w:rsidP="003A6EAB">
            <w:pPr>
              <w:spacing w:after="160" w:line="278" w:lineRule="auto"/>
            </w:pPr>
            <w:r w:rsidRPr="003A6EAB">
              <w:t>Many red stars</w:t>
            </w:r>
          </w:p>
        </w:tc>
      </w:tr>
    </w:tbl>
    <w:p w14:paraId="40646FE7" w14:textId="77777777" w:rsidR="003A6EAB" w:rsidRPr="003A6EAB" w:rsidRDefault="003A6EAB" w:rsidP="003A6EAB">
      <w:pPr>
        <w:numPr>
          <w:ilvl w:val="0"/>
          <w:numId w:val="1"/>
        </w:numPr>
      </w:pPr>
      <w:r w:rsidRPr="003A6EAB">
        <w:rPr>
          <w:b/>
          <w:bCs/>
        </w:rPr>
        <w:t>What a curving line suggests:</w:t>
      </w:r>
      <w:r w:rsidRPr="003A6EAB">
        <w:t xml:space="preserve"> a missing term, for example a quadratic effect of temperature or date. These sometimes only show up when you plot against that specific predictor, so the per-predictor plots matter.</w:t>
      </w:r>
    </w:p>
    <w:p w14:paraId="6825BE64" w14:textId="77777777" w:rsidR="003A6EAB" w:rsidRPr="003A6EAB" w:rsidRDefault="003A6EAB" w:rsidP="003A6EAB">
      <w:pPr>
        <w:numPr>
          <w:ilvl w:val="0"/>
          <w:numId w:val="1"/>
        </w:numPr>
      </w:pPr>
      <w:r w:rsidRPr="003A6EAB">
        <w:rPr>
          <w:b/>
          <w:bCs/>
        </w:rPr>
        <w:t>The KS test:</w:t>
      </w:r>
      <w:r w:rsidRPr="003A6EAB">
        <w:t xml:space="preserve"> </w:t>
      </w:r>
      <w:proofErr w:type="spellStart"/>
      <w:r w:rsidRPr="003A6EAB">
        <w:t>DHARMa</w:t>
      </w:r>
      <w:proofErr w:type="spellEnd"/>
      <w:r w:rsidRPr="003A6EAB">
        <w:t xml:space="preserve"> describes it as less powerful than the targeted tests (dispersion, zero-inflation and so on). Use it as a general flag, not the last word.</w:t>
      </w:r>
    </w:p>
    <w:p w14:paraId="0B05FB7E" w14:textId="77777777" w:rsidR="003A6EAB" w:rsidRPr="003A6EAB" w:rsidRDefault="003A6EAB" w:rsidP="003A6EAB">
      <w:pPr>
        <w:numPr>
          <w:ilvl w:val="0"/>
          <w:numId w:val="1"/>
        </w:numPr>
      </w:pPr>
      <w:proofErr w:type="spellStart"/>
      <w:proofErr w:type="gramStart"/>
      <w:r w:rsidRPr="003A6EAB">
        <w:rPr>
          <w:b/>
          <w:bCs/>
        </w:rPr>
        <w:t>DHARMa</w:t>
      </w:r>
      <w:proofErr w:type="spellEnd"/>
      <w:proofErr w:type="gramEnd"/>
      <w:r w:rsidRPr="003A6EAB">
        <w:rPr>
          <w:b/>
          <w:bCs/>
        </w:rPr>
        <w:t xml:space="preserve"> outliers:</w:t>
      </w:r>
      <w:r w:rsidRPr="003A6EAB">
        <w:t xml:space="preserve"> these are values outside the range of </w:t>
      </w:r>
      <w:proofErr w:type="gramStart"/>
      <w:r w:rsidRPr="003A6EAB">
        <w:t>the simulations</w:t>
      </w:r>
      <w:proofErr w:type="gramEnd"/>
      <w:r w:rsidRPr="003A6EAB">
        <w:t xml:space="preserve">, not extreme values in the usual sense. Their count depends on how many simulations you ran, and </w:t>
      </w:r>
      <w:proofErr w:type="spellStart"/>
      <w:r w:rsidRPr="003A6EAB">
        <w:t>DHARMa</w:t>
      </w:r>
      <w:proofErr w:type="spellEnd"/>
      <w:r w:rsidRPr="003A6EAB">
        <w:t xml:space="preserve"> advises interpreting them cautiously.</w:t>
      </w:r>
    </w:p>
    <w:p w14:paraId="7F8DB93B" w14:textId="77777777" w:rsidR="003A6EAB" w:rsidRPr="003A6EAB" w:rsidRDefault="003A6EAB" w:rsidP="003A6EAB">
      <w:pPr>
        <w:rPr>
          <w:b/>
          <w:bCs/>
        </w:rPr>
      </w:pPr>
      <w:r w:rsidRPr="003A6EAB">
        <w:rPr>
          <w:b/>
          <w:bCs/>
        </w:rPr>
        <w:t>2. Dispersion</w:t>
      </w:r>
    </w:p>
    <w:tbl>
      <w:tblPr>
        <w:tblStyle w:val="TableGridLight"/>
        <w:tblW w:w="0" w:type="auto"/>
        <w:tblLook w:val="04A0" w:firstRow="1" w:lastRow="0" w:firstColumn="1" w:lastColumn="0" w:noHBand="0" w:noVBand="1"/>
      </w:tblPr>
      <w:tblGrid>
        <w:gridCol w:w="1763"/>
        <w:gridCol w:w="7587"/>
      </w:tblGrid>
      <w:tr w:rsidR="003A6EAB" w:rsidRPr="003A6EAB" w14:paraId="7134E2FD" w14:textId="77777777" w:rsidTr="003A6EAB">
        <w:tc>
          <w:tcPr>
            <w:tcW w:w="0" w:type="auto"/>
            <w:hideMark/>
          </w:tcPr>
          <w:p w14:paraId="7B080FEE" w14:textId="77777777" w:rsidR="003A6EAB" w:rsidRPr="003A6EAB" w:rsidRDefault="003A6EAB" w:rsidP="003A6EAB">
            <w:pPr>
              <w:spacing w:after="160" w:line="278" w:lineRule="auto"/>
              <w:rPr>
                <w:b/>
                <w:bCs/>
              </w:rPr>
            </w:pPr>
            <w:r w:rsidRPr="003A6EAB">
              <w:rPr>
                <w:b/>
                <w:bCs/>
              </w:rPr>
              <w:t>Well fitted</w:t>
            </w:r>
          </w:p>
        </w:tc>
        <w:tc>
          <w:tcPr>
            <w:tcW w:w="0" w:type="auto"/>
            <w:hideMark/>
          </w:tcPr>
          <w:p w14:paraId="7F581545" w14:textId="77777777" w:rsidR="003A6EAB" w:rsidRPr="003A6EAB" w:rsidRDefault="003A6EAB" w:rsidP="003A6EAB">
            <w:pPr>
              <w:spacing w:after="160" w:line="278" w:lineRule="auto"/>
              <w:rPr>
                <w:b/>
                <w:bCs/>
              </w:rPr>
            </w:pPr>
            <w:r w:rsidRPr="003A6EAB">
              <w:rPr>
                <w:b/>
                <w:bCs/>
              </w:rPr>
              <w:t>Poorly fitted</w:t>
            </w:r>
          </w:p>
        </w:tc>
      </w:tr>
      <w:tr w:rsidR="003A6EAB" w:rsidRPr="003A6EAB" w14:paraId="10AB4D20" w14:textId="77777777" w:rsidTr="003A6EAB">
        <w:tc>
          <w:tcPr>
            <w:tcW w:w="0" w:type="auto"/>
            <w:hideMark/>
          </w:tcPr>
          <w:p w14:paraId="14F4E58B" w14:textId="77777777" w:rsidR="003A6EAB" w:rsidRPr="003A6EAB" w:rsidRDefault="003A6EAB" w:rsidP="003A6EAB">
            <w:pPr>
              <w:spacing w:after="160" w:line="278" w:lineRule="auto"/>
            </w:pPr>
            <w:r w:rsidRPr="003A6EAB">
              <w:t>Ratio close to 1</w:t>
            </w:r>
          </w:p>
        </w:tc>
        <w:tc>
          <w:tcPr>
            <w:tcW w:w="0" w:type="auto"/>
            <w:hideMark/>
          </w:tcPr>
          <w:p w14:paraId="1216D30D" w14:textId="77777777" w:rsidR="003A6EAB" w:rsidRPr="003A6EAB" w:rsidRDefault="003A6EAB" w:rsidP="003A6EAB">
            <w:pPr>
              <w:spacing w:after="160" w:line="278" w:lineRule="auto"/>
            </w:pPr>
            <w:r w:rsidRPr="003A6EAB">
              <w:t>Ratio clearly above 1 (overdispersion) or clearly below 1 (</w:t>
            </w:r>
            <w:proofErr w:type="spellStart"/>
            <w:r w:rsidRPr="003A6EAB">
              <w:t>underdispersion</w:t>
            </w:r>
            <w:proofErr w:type="spellEnd"/>
            <w:r w:rsidRPr="003A6EAB">
              <w:t>)</w:t>
            </w:r>
          </w:p>
        </w:tc>
      </w:tr>
    </w:tbl>
    <w:p w14:paraId="16BA8F55" w14:textId="77777777" w:rsidR="003A6EAB" w:rsidRPr="003A6EAB" w:rsidRDefault="003A6EAB" w:rsidP="003A6EAB">
      <w:pPr>
        <w:numPr>
          <w:ilvl w:val="0"/>
          <w:numId w:val="2"/>
        </w:numPr>
      </w:pPr>
      <w:r w:rsidRPr="003A6EAB">
        <w:rPr>
          <w:b/>
          <w:bCs/>
        </w:rPr>
        <w:t>Why this still matters for a negative binomial model:</w:t>
      </w:r>
      <w:r w:rsidRPr="003A6EAB">
        <w:t xml:space="preserve"> the NB model already allows for extra variance, so this test asks whether any dispersion problem is left over.</w:t>
      </w:r>
    </w:p>
    <w:p w14:paraId="0E196708" w14:textId="77777777" w:rsidR="003A6EAB" w:rsidRPr="003A6EAB" w:rsidRDefault="003A6EAB" w:rsidP="003A6EAB">
      <w:pPr>
        <w:numPr>
          <w:ilvl w:val="0"/>
          <w:numId w:val="2"/>
        </w:numPr>
      </w:pPr>
      <w:r w:rsidRPr="003A6EAB">
        <w:rPr>
          <w:b/>
          <w:bCs/>
        </w:rPr>
        <w:t>Which direction is worse:</w:t>
      </w:r>
      <w:r w:rsidRPr="003A6EAB">
        <w:t xml:space="preserve"> overdispersion makes standard errors too small, which leads to spurious significance (Harrison et al. 2018). </w:t>
      </w:r>
      <w:proofErr w:type="spellStart"/>
      <w:r w:rsidRPr="003A6EAB">
        <w:t>Underdispersion</w:t>
      </w:r>
      <w:proofErr w:type="spellEnd"/>
      <w:r w:rsidRPr="003A6EAB">
        <w:t xml:space="preserve"> tends to make the model conservative.</w:t>
      </w:r>
    </w:p>
    <w:p w14:paraId="7F924564" w14:textId="77777777" w:rsidR="003A6EAB" w:rsidRPr="003A6EAB" w:rsidRDefault="003A6EAB" w:rsidP="003A6EAB">
      <w:pPr>
        <w:rPr>
          <w:b/>
          <w:bCs/>
        </w:rPr>
      </w:pPr>
      <w:r w:rsidRPr="003A6EAB">
        <w:rPr>
          <w:b/>
          <w:bCs/>
        </w:rPr>
        <w:t>3. Zero-inflation</w:t>
      </w:r>
    </w:p>
    <w:tbl>
      <w:tblPr>
        <w:tblStyle w:val="TableGridLight"/>
        <w:tblW w:w="0" w:type="auto"/>
        <w:tblLook w:val="04A0" w:firstRow="1" w:lastRow="0" w:firstColumn="1" w:lastColumn="0" w:noHBand="0" w:noVBand="1"/>
      </w:tblPr>
      <w:tblGrid>
        <w:gridCol w:w="4006"/>
        <w:gridCol w:w="5344"/>
      </w:tblGrid>
      <w:tr w:rsidR="003A6EAB" w:rsidRPr="003A6EAB" w14:paraId="3FB701D0" w14:textId="77777777" w:rsidTr="003A6EAB">
        <w:tc>
          <w:tcPr>
            <w:tcW w:w="0" w:type="auto"/>
            <w:hideMark/>
          </w:tcPr>
          <w:p w14:paraId="297D02F8" w14:textId="77777777" w:rsidR="003A6EAB" w:rsidRPr="003A6EAB" w:rsidRDefault="003A6EAB" w:rsidP="003A6EAB">
            <w:pPr>
              <w:spacing w:after="160" w:line="278" w:lineRule="auto"/>
              <w:rPr>
                <w:b/>
                <w:bCs/>
              </w:rPr>
            </w:pPr>
            <w:r w:rsidRPr="003A6EAB">
              <w:rPr>
                <w:b/>
                <w:bCs/>
              </w:rPr>
              <w:t>Well fitted</w:t>
            </w:r>
          </w:p>
        </w:tc>
        <w:tc>
          <w:tcPr>
            <w:tcW w:w="0" w:type="auto"/>
            <w:hideMark/>
          </w:tcPr>
          <w:p w14:paraId="3BE79E77" w14:textId="77777777" w:rsidR="003A6EAB" w:rsidRPr="003A6EAB" w:rsidRDefault="003A6EAB" w:rsidP="003A6EAB">
            <w:pPr>
              <w:spacing w:after="160" w:line="278" w:lineRule="auto"/>
              <w:rPr>
                <w:b/>
                <w:bCs/>
              </w:rPr>
            </w:pPr>
            <w:r w:rsidRPr="003A6EAB">
              <w:rPr>
                <w:b/>
                <w:bCs/>
              </w:rPr>
              <w:t>Poorly fitted</w:t>
            </w:r>
          </w:p>
        </w:tc>
      </w:tr>
      <w:tr w:rsidR="003A6EAB" w:rsidRPr="003A6EAB" w14:paraId="037030D8" w14:textId="77777777" w:rsidTr="003A6EAB">
        <w:tc>
          <w:tcPr>
            <w:tcW w:w="0" w:type="auto"/>
            <w:hideMark/>
          </w:tcPr>
          <w:p w14:paraId="6ACD6672" w14:textId="77777777" w:rsidR="003A6EAB" w:rsidRPr="003A6EAB" w:rsidRDefault="003A6EAB" w:rsidP="003A6EAB">
            <w:pPr>
              <w:spacing w:after="160" w:line="278" w:lineRule="auto"/>
            </w:pPr>
            <w:proofErr w:type="gramStart"/>
            <w:r w:rsidRPr="003A6EAB">
              <w:t>Ratio of</w:t>
            </w:r>
            <w:proofErr w:type="gramEnd"/>
            <w:r w:rsidRPr="003A6EAB">
              <w:t xml:space="preserve"> observed to expected zeros close to 1</w:t>
            </w:r>
          </w:p>
        </w:tc>
        <w:tc>
          <w:tcPr>
            <w:tcW w:w="0" w:type="auto"/>
            <w:hideMark/>
          </w:tcPr>
          <w:p w14:paraId="64E0141B" w14:textId="77777777" w:rsidR="003A6EAB" w:rsidRPr="003A6EAB" w:rsidRDefault="003A6EAB" w:rsidP="003A6EAB">
            <w:pPr>
              <w:spacing w:after="160" w:line="278" w:lineRule="auto"/>
            </w:pPr>
            <w:r w:rsidRPr="003A6EAB">
              <w:t>Ratio clearly above 1 (more zero nights than the model expects)</w:t>
            </w:r>
          </w:p>
        </w:tc>
      </w:tr>
    </w:tbl>
    <w:p w14:paraId="020E8A91" w14:textId="77777777" w:rsidR="003A6EAB" w:rsidRPr="003A6EAB" w:rsidRDefault="003A6EAB" w:rsidP="003A6EAB">
      <w:pPr>
        <w:numPr>
          <w:ilvl w:val="0"/>
          <w:numId w:val="3"/>
        </w:numPr>
      </w:pPr>
      <w:r w:rsidRPr="003A6EAB">
        <w:rPr>
          <w:b/>
          <w:bCs/>
        </w:rPr>
        <w:lastRenderedPageBreak/>
        <w:t>Excess zeros don’t automatically mean you need a zero-inflated model.</w:t>
      </w:r>
      <w:r w:rsidRPr="003A6EAB">
        <w:t xml:space="preserve"> Overdispersion can also produce too many zeros. </w:t>
      </w:r>
      <w:proofErr w:type="spellStart"/>
      <w:r w:rsidRPr="003A6EAB">
        <w:t>DHARMa</w:t>
      </w:r>
      <w:proofErr w:type="spellEnd"/>
      <w:r w:rsidRPr="003A6EAB">
        <w:t xml:space="preserve"> recommends comparing alternative models before adding a zero-inflation term (Hartig, </w:t>
      </w:r>
      <w:proofErr w:type="spellStart"/>
      <w:r w:rsidRPr="003A6EAB">
        <w:t>DHARMa</w:t>
      </w:r>
      <w:proofErr w:type="spellEnd"/>
      <w:r w:rsidRPr="003A6EAB">
        <w:t xml:space="preserve"> vignette).</w:t>
      </w:r>
    </w:p>
    <w:p w14:paraId="02E683B8" w14:textId="77777777" w:rsidR="003A6EAB" w:rsidRPr="003A6EAB" w:rsidRDefault="003A6EAB" w:rsidP="003A6EAB">
      <w:pPr>
        <w:numPr>
          <w:ilvl w:val="0"/>
          <w:numId w:val="3"/>
        </w:numPr>
      </w:pPr>
      <w:r w:rsidRPr="003A6EAB">
        <w:rPr>
          <w:b/>
          <w:bCs/>
        </w:rPr>
        <w:t>This fits your plan</w:t>
      </w:r>
      <w:r w:rsidRPr="003A6EAB">
        <w:t xml:space="preserve"> of keeping the same model structure for every species.</w:t>
      </w:r>
    </w:p>
    <w:p w14:paraId="6057CF4F" w14:textId="77777777" w:rsidR="003A6EAB" w:rsidRPr="003A6EAB" w:rsidRDefault="003A6EAB" w:rsidP="003A6EAB">
      <w:pPr>
        <w:rPr>
          <w:b/>
          <w:bCs/>
        </w:rPr>
      </w:pPr>
      <w:r w:rsidRPr="003A6EAB">
        <w:rPr>
          <w:b/>
          <w:bCs/>
        </w:rPr>
        <w:t>4. Temporal and spatial autocorrelation</w:t>
      </w:r>
    </w:p>
    <w:tbl>
      <w:tblPr>
        <w:tblStyle w:val="TableGridLight"/>
        <w:tblW w:w="0" w:type="auto"/>
        <w:tblLook w:val="04A0" w:firstRow="1" w:lastRow="0" w:firstColumn="1" w:lastColumn="0" w:noHBand="0" w:noVBand="1"/>
      </w:tblPr>
      <w:tblGrid>
        <w:gridCol w:w="2139"/>
        <w:gridCol w:w="3001"/>
        <w:gridCol w:w="4210"/>
      </w:tblGrid>
      <w:tr w:rsidR="003A6EAB" w:rsidRPr="003A6EAB" w14:paraId="4580E006" w14:textId="77777777" w:rsidTr="003A6EAB">
        <w:tc>
          <w:tcPr>
            <w:tcW w:w="0" w:type="auto"/>
            <w:hideMark/>
          </w:tcPr>
          <w:p w14:paraId="23B8F3A5" w14:textId="77777777" w:rsidR="003A6EAB" w:rsidRPr="003A6EAB" w:rsidRDefault="003A6EAB" w:rsidP="003A6EAB">
            <w:pPr>
              <w:spacing w:after="160" w:line="278" w:lineRule="auto"/>
            </w:pPr>
          </w:p>
        </w:tc>
        <w:tc>
          <w:tcPr>
            <w:tcW w:w="0" w:type="auto"/>
            <w:hideMark/>
          </w:tcPr>
          <w:p w14:paraId="0967CCFF" w14:textId="77777777" w:rsidR="003A6EAB" w:rsidRPr="003A6EAB" w:rsidRDefault="003A6EAB" w:rsidP="003A6EAB">
            <w:pPr>
              <w:spacing w:after="160" w:line="278" w:lineRule="auto"/>
              <w:rPr>
                <w:b/>
                <w:bCs/>
              </w:rPr>
            </w:pPr>
            <w:r w:rsidRPr="003A6EAB">
              <w:rPr>
                <w:b/>
                <w:bCs/>
              </w:rPr>
              <w:t>Well fitted</w:t>
            </w:r>
          </w:p>
        </w:tc>
        <w:tc>
          <w:tcPr>
            <w:tcW w:w="0" w:type="auto"/>
            <w:hideMark/>
          </w:tcPr>
          <w:p w14:paraId="6E30141F" w14:textId="77777777" w:rsidR="003A6EAB" w:rsidRPr="003A6EAB" w:rsidRDefault="003A6EAB" w:rsidP="003A6EAB">
            <w:pPr>
              <w:spacing w:after="160" w:line="278" w:lineRule="auto"/>
              <w:rPr>
                <w:b/>
                <w:bCs/>
              </w:rPr>
            </w:pPr>
            <w:r w:rsidRPr="003A6EAB">
              <w:rPr>
                <w:b/>
                <w:bCs/>
              </w:rPr>
              <w:t>Poorly fitted</w:t>
            </w:r>
          </w:p>
        </w:tc>
      </w:tr>
      <w:tr w:rsidR="003A6EAB" w:rsidRPr="003A6EAB" w14:paraId="0F041990" w14:textId="77777777" w:rsidTr="003A6EAB">
        <w:tc>
          <w:tcPr>
            <w:tcW w:w="0" w:type="auto"/>
            <w:hideMark/>
          </w:tcPr>
          <w:p w14:paraId="7C1F1C45" w14:textId="77777777" w:rsidR="003A6EAB" w:rsidRPr="003A6EAB" w:rsidRDefault="003A6EAB" w:rsidP="003A6EAB">
            <w:pPr>
              <w:spacing w:after="160" w:line="278" w:lineRule="auto"/>
            </w:pPr>
            <w:r w:rsidRPr="003A6EAB">
              <w:rPr>
                <w:b/>
                <w:bCs/>
              </w:rPr>
              <w:t>Temporal (Durbin-Watson)</w:t>
            </w:r>
          </w:p>
        </w:tc>
        <w:tc>
          <w:tcPr>
            <w:tcW w:w="0" w:type="auto"/>
            <w:hideMark/>
          </w:tcPr>
          <w:p w14:paraId="508C77F4" w14:textId="77777777" w:rsidR="003A6EAB" w:rsidRPr="003A6EAB" w:rsidRDefault="003A6EAB" w:rsidP="003A6EAB">
            <w:pPr>
              <w:spacing w:after="160" w:line="278" w:lineRule="auto"/>
            </w:pPr>
            <w:proofErr w:type="gramStart"/>
            <w:r w:rsidRPr="003A6EAB">
              <w:t>Statistic</w:t>
            </w:r>
            <w:proofErr w:type="gramEnd"/>
            <w:r w:rsidRPr="003A6EAB">
              <w:t xml:space="preserve"> near 2</w:t>
            </w:r>
          </w:p>
        </w:tc>
        <w:tc>
          <w:tcPr>
            <w:tcW w:w="0" w:type="auto"/>
            <w:hideMark/>
          </w:tcPr>
          <w:p w14:paraId="37E2B344" w14:textId="77777777" w:rsidR="003A6EAB" w:rsidRPr="003A6EAB" w:rsidRDefault="003A6EAB" w:rsidP="003A6EAB">
            <w:pPr>
              <w:spacing w:after="160" w:line="278" w:lineRule="auto"/>
            </w:pPr>
            <w:r w:rsidRPr="003A6EAB">
              <w:t>Clearly below 2, meaning nights close in time have similar residuals</w:t>
            </w:r>
          </w:p>
        </w:tc>
      </w:tr>
      <w:tr w:rsidR="003A6EAB" w:rsidRPr="003A6EAB" w14:paraId="49CF92A9" w14:textId="77777777" w:rsidTr="003A6EAB">
        <w:tc>
          <w:tcPr>
            <w:tcW w:w="0" w:type="auto"/>
            <w:hideMark/>
          </w:tcPr>
          <w:p w14:paraId="2B556555" w14:textId="77777777" w:rsidR="003A6EAB" w:rsidRPr="003A6EAB" w:rsidRDefault="003A6EAB" w:rsidP="003A6EAB">
            <w:pPr>
              <w:spacing w:after="160" w:line="278" w:lineRule="auto"/>
            </w:pPr>
            <w:r w:rsidRPr="003A6EAB">
              <w:rPr>
                <w:b/>
                <w:bCs/>
              </w:rPr>
              <w:t>Spatial (Moran’s I)</w:t>
            </w:r>
          </w:p>
        </w:tc>
        <w:tc>
          <w:tcPr>
            <w:tcW w:w="0" w:type="auto"/>
            <w:hideMark/>
          </w:tcPr>
          <w:p w14:paraId="061D3451" w14:textId="77777777" w:rsidR="003A6EAB" w:rsidRPr="003A6EAB" w:rsidRDefault="003A6EAB" w:rsidP="003A6EAB">
            <w:pPr>
              <w:spacing w:after="160" w:line="278" w:lineRule="auto"/>
            </w:pPr>
            <w:r w:rsidRPr="003A6EAB">
              <w:t>Observed I near the expected value (about 0)</w:t>
            </w:r>
          </w:p>
        </w:tc>
        <w:tc>
          <w:tcPr>
            <w:tcW w:w="0" w:type="auto"/>
            <w:hideMark/>
          </w:tcPr>
          <w:p w14:paraId="296CB103" w14:textId="77777777" w:rsidR="003A6EAB" w:rsidRPr="003A6EAB" w:rsidRDefault="003A6EAB" w:rsidP="003A6EAB">
            <w:pPr>
              <w:spacing w:after="160" w:line="278" w:lineRule="auto"/>
            </w:pPr>
            <w:r w:rsidRPr="003A6EAB">
              <w:t>Significant positive I, meaning nearby sites have similar residuals</w:t>
            </w:r>
          </w:p>
        </w:tc>
      </w:tr>
    </w:tbl>
    <w:p w14:paraId="3B3A3DAE" w14:textId="77777777" w:rsidR="003A6EAB" w:rsidRPr="003A6EAB" w:rsidRDefault="003A6EAB" w:rsidP="003A6EAB">
      <w:pPr>
        <w:numPr>
          <w:ilvl w:val="0"/>
          <w:numId w:val="4"/>
        </w:numPr>
      </w:pPr>
      <w:r w:rsidRPr="003A6EAB">
        <w:rPr>
          <w:b/>
          <w:bCs/>
        </w:rPr>
        <w:t>Source of the Durbin-Watson interpretation:</w:t>
      </w:r>
      <w:r w:rsidRPr="003A6EAB">
        <w:t xml:space="preserve"> the “near 2” reading is the standard one for this statistic. It comes from general statistics knowledge; the </w:t>
      </w:r>
      <w:proofErr w:type="spellStart"/>
      <w:r w:rsidRPr="003A6EAB">
        <w:t>DHARMa</w:t>
      </w:r>
      <w:proofErr w:type="spellEnd"/>
      <w:r w:rsidRPr="003A6EAB">
        <w:t xml:space="preserve"> vignette page I fetched didn’t spell it out.</w:t>
      </w:r>
    </w:p>
    <w:p w14:paraId="445CFF59" w14:textId="77777777" w:rsidR="003A6EAB" w:rsidRPr="003A6EAB" w:rsidRDefault="003A6EAB" w:rsidP="003A6EAB">
      <w:pPr>
        <w:numPr>
          <w:ilvl w:val="0"/>
          <w:numId w:val="4"/>
        </w:numPr>
      </w:pPr>
      <w:r w:rsidRPr="003A6EAB">
        <w:rPr>
          <w:b/>
          <w:bCs/>
        </w:rPr>
        <w:t>What spatial autocorrelation means:</w:t>
      </w:r>
      <w:r w:rsidRPr="003A6EAB">
        <w:t xml:space="preserve"> </w:t>
      </w:r>
      <w:proofErr w:type="spellStart"/>
      <w:r w:rsidRPr="003A6EAB">
        <w:t>DHARMa</w:t>
      </w:r>
      <w:proofErr w:type="spellEnd"/>
      <w:r w:rsidRPr="003A6EAB">
        <w:t xml:space="preserve"> notes that it points to a missing spatial structure in the model.</w:t>
      </w:r>
    </w:p>
    <w:p w14:paraId="3EBCC995" w14:textId="77777777" w:rsidR="003A6EAB" w:rsidRPr="003A6EAB" w:rsidRDefault="003A6EAB" w:rsidP="003A6EAB">
      <w:pPr>
        <w:numPr>
          <w:ilvl w:val="0"/>
          <w:numId w:val="4"/>
        </w:numPr>
      </w:pPr>
      <w:r w:rsidRPr="003A6EAB">
        <w:rPr>
          <w:b/>
          <w:bCs/>
        </w:rPr>
        <w:t>Why the residuals are aggregated first:</w:t>
      </w:r>
      <w:r w:rsidRPr="003A6EAB">
        <w:t xml:space="preserve"> the script groups residuals by night (temporal) and by site (spatial) before testing. </w:t>
      </w:r>
      <w:proofErr w:type="spellStart"/>
      <w:proofErr w:type="gramStart"/>
      <w:r w:rsidRPr="003A6EAB">
        <w:t>DHARMa</w:t>
      </w:r>
      <w:proofErr w:type="spellEnd"/>
      <w:proofErr w:type="gramEnd"/>
      <w:r w:rsidRPr="003A6EAB">
        <w:t xml:space="preserve"> recommends this when there are repeated measures per time point or location.</w:t>
      </w:r>
    </w:p>
    <w:p w14:paraId="6B8E2135" w14:textId="77777777" w:rsidR="003A6EAB" w:rsidRPr="003A6EAB" w:rsidRDefault="003A6EAB" w:rsidP="003A6EAB">
      <w:pPr>
        <w:rPr>
          <w:b/>
          <w:bCs/>
        </w:rPr>
      </w:pPr>
      <w:r w:rsidRPr="003A6EAB">
        <w:rPr>
          <w:b/>
          <w:bCs/>
        </w:rPr>
        <w:t>5. Random effects</w:t>
      </w:r>
    </w:p>
    <w:tbl>
      <w:tblPr>
        <w:tblStyle w:val="TableGridLight"/>
        <w:tblW w:w="0" w:type="auto"/>
        <w:tblLook w:val="04A0" w:firstRow="1" w:lastRow="0" w:firstColumn="1" w:lastColumn="0" w:noHBand="0" w:noVBand="1"/>
      </w:tblPr>
      <w:tblGrid>
        <w:gridCol w:w="2685"/>
        <w:gridCol w:w="3216"/>
        <w:gridCol w:w="3449"/>
      </w:tblGrid>
      <w:tr w:rsidR="003A6EAB" w:rsidRPr="003A6EAB" w14:paraId="0C4CBA9C" w14:textId="77777777" w:rsidTr="003A6EAB">
        <w:tc>
          <w:tcPr>
            <w:tcW w:w="0" w:type="auto"/>
            <w:hideMark/>
          </w:tcPr>
          <w:p w14:paraId="469CE46A" w14:textId="77777777" w:rsidR="003A6EAB" w:rsidRPr="003A6EAB" w:rsidRDefault="003A6EAB" w:rsidP="003A6EAB">
            <w:pPr>
              <w:spacing w:after="160" w:line="278" w:lineRule="auto"/>
            </w:pPr>
          </w:p>
        </w:tc>
        <w:tc>
          <w:tcPr>
            <w:tcW w:w="0" w:type="auto"/>
            <w:hideMark/>
          </w:tcPr>
          <w:p w14:paraId="0BF3A195" w14:textId="77777777" w:rsidR="003A6EAB" w:rsidRPr="003A6EAB" w:rsidRDefault="003A6EAB" w:rsidP="003A6EAB">
            <w:pPr>
              <w:spacing w:after="160" w:line="278" w:lineRule="auto"/>
              <w:rPr>
                <w:b/>
                <w:bCs/>
              </w:rPr>
            </w:pPr>
            <w:r w:rsidRPr="003A6EAB">
              <w:rPr>
                <w:b/>
                <w:bCs/>
              </w:rPr>
              <w:t>Well fitted</w:t>
            </w:r>
          </w:p>
        </w:tc>
        <w:tc>
          <w:tcPr>
            <w:tcW w:w="0" w:type="auto"/>
            <w:hideMark/>
          </w:tcPr>
          <w:p w14:paraId="1C8A9A43" w14:textId="77777777" w:rsidR="003A6EAB" w:rsidRPr="003A6EAB" w:rsidRDefault="003A6EAB" w:rsidP="003A6EAB">
            <w:pPr>
              <w:spacing w:after="160" w:line="278" w:lineRule="auto"/>
              <w:rPr>
                <w:b/>
                <w:bCs/>
              </w:rPr>
            </w:pPr>
            <w:r w:rsidRPr="003A6EAB">
              <w:rPr>
                <w:b/>
                <w:bCs/>
              </w:rPr>
              <w:t>Poorly fitted</w:t>
            </w:r>
          </w:p>
        </w:tc>
      </w:tr>
      <w:tr w:rsidR="003A6EAB" w:rsidRPr="003A6EAB" w14:paraId="3AC8F455" w14:textId="77777777" w:rsidTr="003A6EAB">
        <w:tc>
          <w:tcPr>
            <w:tcW w:w="0" w:type="auto"/>
            <w:hideMark/>
          </w:tcPr>
          <w:p w14:paraId="769FA3F9" w14:textId="77777777" w:rsidR="003A6EAB" w:rsidRPr="003A6EAB" w:rsidRDefault="003A6EAB" w:rsidP="003A6EAB">
            <w:pPr>
              <w:spacing w:after="160" w:line="278" w:lineRule="auto"/>
            </w:pPr>
            <w:r w:rsidRPr="003A6EAB">
              <w:rPr>
                <w:b/>
                <w:bCs/>
              </w:rPr>
              <w:t>Residuals by group</w:t>
            </w:r>
            <w:r w:rsidRPr="003A6EAB">
              <w:t xml:space="preserve"> (</w:t>
            </w:r>
            <w:proofErr w:type="spellStart"/>
            <w:r w:rsidRPr="003A6EAB">
              <w:t>testCategorical</w:t>
            </w:r>
            <w:proofErr w:type="spellEnd"/>
            <w:r w:rsidRPr="003A6EAB">
              <w:t>)</w:t>
            </w:r>
          </w:p>
        </w:tc>
        <w:tc>
          <w:tcPr>
            <w:tcW w:w="0" w:type="auto"/>
            <w:hideMark/>
          </w:tcPr>
          <w:p w14:paraId="6562753A" w14:textId="77777777" w:rsidR="003A6EAB" w:rsidRPr="003A6EAB" w:rsidRDefault="003A6EAB" w:rsidP="003A6EAB">
            <w:pPr>
              <w:spacing w:after="160" w:line="278" w:lineRule="auto"/>
            </w:pPr>
            <w:r w:rsidRPr="003A6EAB">
              <w:t>Every box spans roughly 0.25–0.75, and the boxes are similar in spread</w:t>
            </w:r>
          </w:p>
        </w:tc>
        <w:tc>
          <w:tcPr>
            <w:tcW w:w="0" w:type="auto"/>
            <w:hideMark/>
          </w:tcPr>
          <w:p w14:paraId="0D380FF5" w14:textId="77777777" w:rsidR="003A6EAB" w:rsidRPr="003A6EAB" w:rsidRDefault="003A6EAB" w:rsidP="003A6EAB">
            <w:pPr>
              <w:spacing w:after="160" w:line="278" w:lineRule="auto"/>
            </w:pPr>
            <w:r w:rsidRPr="003A6EAB">
              <w:t>Boxes highlighted in red, shifted up or down, or very unequal in spread</w:t>
            </w:r>
          </w:p>
        </w:tc>
      </w:tr>
      <w:tr w:rsidR="003A6EAB" w:rsidRPr="003A6EAB" w14:paraId="49EE34A9" w14:textId="77777777" w:rsidTr="003A6EAB">
        <w:tc>
          <w:tcPr>
            <w:tcW w:w="0" w:type="auto"/>
            <w:hideMark/>
          </w:tcPr>
          <w:p w14:paraId="4A5241E9" w14:textId="77777777" w:rsidR="003A6EAB" w:rsidRPr="003A6EAB" w:rsidRDefault="003A6EAB" w:rsidP="003A6EAB">
            <w:pPr>
              <w:spacing w:after="160" w:line="278" w:lineRule="auto"/>
            </w:pPr>
            <w:r w:rsidRPr="003A6EAB">
              <w:rPr>
                <w:b/>
                <w:bCs/>
              </w:rPr>
              <w:t xml:space="preserve">QQ plot of </w:t>
            </w:r>
            <w:proofErr w:type="gramStart"/>
            <w:r w:rsidRPr="003A6EAB">
              <w:rPr>
                <w:b/>
                <w:bCs/>
              </w:rPr>
              <w:t>random-effect</w:t>
            </w:r>
            <w:proofErr w:type="gramEnd"/>
            <w:r w:rsidRPr="003A6EAB">
              <w:rPr>
                <w:b/>
                <w:bCs/>
              </w:rPr>
              <w:t xml:space="preserve"> estimates</w:t>
            </w:r>
          </w:p>
        </w:tc>
        <w:tc>
          <w:tcPr>
            <w:tcW w:w="0" w:type="auto"/>
            <w:hideMark/>
          </w:tcPr>
          <w:p w14:paraId="50B76A1A" w14:textId="77777777" w:rsidR="003A6EAB" w:rsidRPr="003A6EAB" w:rsidRDefault="003A6EAB" w:rsidP="003A6EAB">
            <w:pPr>
              <w:spacing w:after="160" w:line="278" w:lineRule="auto"/>
            </w:pPr>
            <w:r w:rsidRPr="003A6EAB">
              <w:t>Points roughly on the line</w:t>
            </w:r>
          </w:p>
        </w:tc>
        <w:tc>
          <w:tcPr>
            <w:tcW w:w="0" w:type="auto"/>
            <w:hideMark/>
          </w:tcPr>
          <w:p w14:paraId="276E34D9" w14:textId="77777777" w:rsidR="003A6EAB" w:rsidRPr="003A6EAB" w:rsidRDefault="003A6EAB" w:rsidP="003A6EAB">
            <w:pPr>
              <w:spacing w:after="160" w:line="278" w:lineRule="auto"/>
            </w:pPr>
            <w:r w:rsidRPr="003A6EAB">
              <w:t>Strong curvature, or a few extreme groups</w:t>
            </w:r>
          </w:p>
        </w:tc>
      </w:tr>
    </w:tbl>
    <w:p w14:paraId="52670A57" w14:textId="77777777" w:rsidR="003A6EAB" w:rsidRPr="003A6EAB" w:rsidRDefault="003A6EAB" w:rsidP="003A6EAB">
      <w:pPr>
        <w:numPr>
          <w:ilvl w:val="0"/>
          <w:numId w:val="5"/>
        </w:numPr>
      </w:pPr>
      <w:r w:rsidRPr="003A6EAB">
        <w:rPr>
          <w:b/>
          <w:bCs/>
        </w:rPr>
        <w:t>Normality of the random effects:</w:t>
      </w:r>
      <w:r w:rsidRPr="003A6EAB">
        <w:t xml:space="preserve"> this is an assumption of the model, and Harrison et al. note it is rarely checked. Normality is assessed with the QQ plot.</w:t>
      </w:r>
    </w:p>
    <w:p w14:paraId="5604885E" w14:textId="77777777" w:rsidR="003A6EAB" w:rsidRPr="003A6EAB" w:rsidRDefault="003A6EAB" w:rsidP="003A6EAB">
      <w:pPr>
        <w:numPr>
          <w:ilvl w:val="0"/>
          <w:numId w:val="5"/>
        </w:numPr>
      </w:pPr>
      <w:r w:rsidRPr="003A6EAB">
        <w:rPr>
          <w:b/>
          <w:bCs/>
        </w:rPr>
        <w:t>Small groups:</w:t>
      </w:r>
      <w:r w:rsidRPr="003A6EAB">
        <w:t xml:space="preserve"> if many groups have only a few observations, these checks will look noisy. Harrison et al. treat that noise as a warning </w:t>
      </w:r>
      <w:proofErr w:type="gramStart"/>
      <w:r w:rsidRPr="003A6EAB">
        <w:t>sign in itself</w:t>
      </w:r>
      <w:proofErr w:type="gramEnd"/>
      <w:r w:rsidRPr="003A6EAB">
        <w:t>.</w:t>
      </w:r>
    </w:p>
    <w:p w14:paraId="06F0530C" w14:textId="77777777" w:rsidR="003A6EAB" w:rsidRPr="003A6EAB" w:rsidRDefault="003A6EAB" w:rsidP="003A6EAB">
      <w:pPr>
        <w:rPr>
          <w:b/>
          <w:bCs/>
        </w:rPr>
      </w:pPr>
      <w:r w:rsidRPr="003A6EAB">
        <w:rPr>
          <w:b/>
          <w:bCs/>
        </w:rPr>
        <w:t>6. R², singularity and collinearity</w:t>
      </w:r>
    </w:p>
    <w:p w14:paraId="4CAE9F1E" w14:textId="77777777" w:rsidR="003A6EAB" w:rsidRPr="003A6EAB" w:rsidRDefault="003A6EAB" w:rsidP="003A6EAB">
      <w:r w:rsidRPr="003A6EAB">
        <w:rPr>
          <w:b/>
          <w:bCs/>
        </w:rPr>
        <w:lastRenderedPageBreak/>
        <w:t>R² (Nakagawa marginal and conditional)</w:t>
      </w:r>
    </w:p>
    <w:p w14:paraId="621B1EBC" w14:textId="77777777" w:rsidR="003A6EAB" w:rsidRPr="003A6EAB" w:rsidRDefault="003A6EAB" w:rsidP="003A6EAB">
      <w:pPr>
        <w:numPr>
          <w:ilvl w:val="0"/>
          <w:numId w:val="6"/>
        </w:numPr>
      </w:pPr>
      <w:r w:rsidRPr="003A6EAB">
        <w:t>There is no published threshold for a “good” value.</w:t>
      </w:r>
    </w:p>
    <w:p w14:paraId="4576EE29" w14:textId="77777777" w:rsidR="003A6EAB" w:rsidRPr="003A6EAB" w:rsidRDefault="003A6EAB" w:rsidP="003A6EAB">
      <w:pPr>
        <w:numPr>
          <w:ilvl w:val="0"/>
          <w:numId w:val="6"/>
        </w:numPr>
      </w:pPr>
      <w:r w:rsidRPr="003A6EAB">
        <w:t xml:space="preserve">Marginal R² is the variance explained by the fixed effects; conditional R² is the variance explained by fixed plus random effects. The method was extended to negative binomial models by Nakagawa, Johnson &amp; </w:t>
      </w:r>
      <w:proofErr w:type="spellStart"/>
      <w:r w:rsidRPr="003A6EAB">
        <w:t>Schielzeth</w:t>
      </w:r>
      <w:proofErr w:type="spellEnd"/>
      <w:r w:rsidRPr="003A6EAB">
        <w:t xml:space="preserve"> (2017).</w:t>
      </w:r>
    </w:p>
    <w:p w14:paraId="7E9B68E4" w14:textId="77777777" w:rsidR="003A6EAB" w:rsidRPr="003A6EAB" w:rsidRDefault="003A6EAB" w:rsidP="003A6EAB">
      <w:pPr>
        <w:numPr>
          <w:ilvl w:val="0"/>
          <w:numId w:val="6"/>
        </w:numPr>
      </w:pPr>
      <w:r w:rsidRPr="003A6EAB">
        <w:t>Harrison et al. are explicit that a high R² measures how much is explained, not whether the model is adequate. A model can have a high R² and still fail the checks above.</w:t>
      </w:r>
    </w:p>
    <w:p w14:paraId="2B13F667" w14:textId="77777777" w:rsidR="003A6EAB" w:rsidRPr="003A6EAB" w:rsidRDefault="003A6EAB" w:rsidP="003A6EAB">
      <w:r w:rsidRPr="003A6EAB">
        <w:rPr>
          <w:b/>
          <w:bCs/>
        </w:rPr>
        <w:t>Singularity</w:t>
      </w:r>
    </w:p>
    <w:tbl>
      <w:tblPr>
        <w:tblStyle w:val="TableGridLight"/>
        <w:tblW w:w="0" w:type="auto"/>
        <w:tblLook w:val="04A0" w:firstRow="1" w:lastRow="0" w:firstColumn="1" w:lastColumn="0" w:noHBand="0" w:noVBand="1"/>
      </w:tblPr>
      <w:tblGrid>
        <w:gridCol w:w="1345"/>
        <w:gridCol w:w="1545"/>
      </w:tblGrid>
      <w:tr w:rsidR="003A6EAB" w:rsidRPr="003A6EAB" w14:paraId="077153E2" w14:textId="77777777" w:rsidTr="003A6EAB">
        <w:tc>
          <w:tcPr>
            <w:tcW w:w="0" w:type="auto"/>
            <w:hideMark/>
          </w:tcPr>
          <w:p w14:paraId="37E0A5C2" w14:textId="77777777" w:rsidR="003A6EAB" w:rsidRPr="003A6EAB" w:rsidRDefault="003A6EAB" w:rsidP="003A6EAB">
            <w:pPr>
              <w:spacing w:after="160" w:line="278" w:lineRule="auto"/>
              <w:rPr>
                <w:b/>
                <w:bCs/>
              </w:rPr>
            </w:pPr>
            <w:r w:rsidRPr="003A6EAB">
              <w:rPr>
                <w:b/>
                <w:bCs/>
              </w:rPr>
              <w:t>Well fitted</w:t>
            </w:r>
          </w:p>
        </w:tc>
        <w:tc>
          <w:tcPr>
            <w:tcW w:w="0" w:type="auto"/>
            <w:hideMark/>
          </w:tcPr>
          <w:p w14:paraId="4043E33C" w14:textId="77777777" w:rsidR="003A6EAB" w:rsidRPr="003A6EAB" w:rsidRDefault="003A6EAB" w:rsidP="003A6EAB">
            <w:pPr>
              <w:spacing w:after="160" w:line="278" w:lineRule="auto"/>
              <w:rPr>
                <w:b/>
                <w:bCs/>
              </w:rPr>
            </w:pPr>
            <w:r w:rsidRPr="003A6EAB">
              <w:rPr>
                <w:b/>
                <w:bCs/>
              </w:rPr>
              <w:t>Poorly fitted</w:t>
            </w:r>
          </w:p>
        </w:tc>
      </w:tr>
      <w:tr w:rsidR="003A6EAB" w:rsidRPr="003A6EAB" w14:paraId="5C0A0AFA" w14:textId="77777777" w:rsidTr="003A6EAB">
        <w:tc>
          <w:tcPr>
            <w:tcW w:w="0" w:type="auto"/>
            <w:hideMark/>
          </w:tcPr>
          <w:p w14:paraId="21ABCBD6" w14:textId="77777777" w:rsidR="003A6EAB" w:rsidRPr="003A6EAB" w:rsidRDefault="003A6EAB" w:rsidP="003A6EAB">
            <w:pPr>
              <w:spacing w:after="160" w:line="278" w:lineRule="auto"/>
            </w:pPr>
            <w:r w:rsidRPr="003A6EAB">
              <w:t>FALSE</w:t>
            </w:r>
          </w:p>
        </w:tc>
        <w:tc>
          <w:tcPr>
            <w:tcW w:w="0" w:type="auto"/>
            <w:hideMark/>
          </w:tcPr>
          <w:p w14:paraId="56B79633" w14:textId="77777777" w:rsidR="003A6EAB" w:rsidRPr="003A6EAB" w:rsidRDefault="003A6EAB" w:rsidP="003A6EAB">
            <w:pPr>
              <w:spacing w:after="160" w:line="278" w:lineRule="auto"/>
            </w:pPr>
            <w:r w:rsidRPr="003A6EAB">
              <w:t>TRUE</w:t>
            </w:r>
          </w:p>
        </w:tc>
      </w:tr>
    </w:tbl>
    <w:p w14:paraId="0853FA9B" w14:textId="77777777" w:rsidR="003A6EAB" w:rsidRPr="003A6EAB" w:rsidRDefault="003A6EAB" w:rsidP="003A6EAB">
      <w:pPr>
        <w:numPr>
          <w:ilvl w:val="0"/>
          <w:numId w:val="7"/>
        </w:numPr>
      </w:pPr>
      <w:r w:rsidRPr="003A6EAB">
        <w:rPr>
          <w:b/>
          <w:bCs/>
        </w:rPr>
        <w:t>What a singular fit means:</w:t>
      </w:r>
      <w:r w:rsidRPr="003A6EAB">
        <w:t xml:space="preserve"> a random-effect variance has been estimated at zero, or a correlation at ±1.</w:t>
      </w:r>
    </w:p>
    <w:p w14:paraId="18C1C15C" w14:textId="77777777" w:rsidR="003A6EAB" w:rsidRPr="003A6EAB" w:rsidRDefault="003A6EAB" w:rsidP="003A6EAB">
      <w:pPr>
        <w:numPr>
          <w:ilvl w:val="0"/>
          <w:numId w:val="7"/>
        </w:numPr>
      </w:pPr>
      <w:r w:rsidRPr="003A6EAB">
        <w:rPr>
          <w:b/>
          <w:bCs/>
        </w:rPr>
        <w:t>Consequences:</w:t>
      </w:r>
      <w:r w:rsidRPr="003A6EAB">
        <w:t xml:space="preserve"> the lme4 documentation notes the model is still statistically valid. However, it may be overfitted and have poor power. It is also more prone to numerical problems, and likelihood ratio and Wald tests may not be appropriate.</w:t>
      </w:r>
    </w:p>
    <w:p w14:paraId="5C23B0F9" w14:textId="77777777" w:rsidR="003A6EAB" w:rsidRPr="003A6EAB" w:rsidRDefault="003A6EAB" w:rsidP="003A6EAB">
      <w:r w:rsidRPr="003A6EAB">
        <w:rPr>
          <w:b/>
          <w:bCs/>
        </w:rPr>
        <w:t>Collinearity (VIF)</w:t>
      </w:r>
    </w:p>
    <w:p w14:paraId="60493664" w14:textId="77777777" w:rsidR="003A6EAB" w:rsidRPr="003A6EAB" w:rsidRDefault="003A6EAB" w:rsidP="003A6EAB">
      <w:pPr>
        <w:numPr>
          <w:ilvl w:val="0"/>
          <w:numId w:val="8"/>
        </w:numPr>
      </w:pPr>
      <w:r w:rsidRPr="003A6EAB">
        <w:t>A VIF below about 3 is the conservative cut-off (Zuur et al. 2010). Some authors accept values up to 10 (Quinn &amp; Keough 2002).</w:t>
      </w:r>
    </w:p>
    <w:p w14:paraId="73B896C8" w14:textId="77777777" w:rsidR="003A6EAB" w:rsidRPr="003A6EAB" w:rsidRDefault="003A6EAB" w:rsidP="003A6EAB">
      <w:pPr>
        <w:numPr>
          <w:ilvl w:val="0"/>
          <w:numId w:val="8"/>
        </w:numPr>
      </w:pPr>
      <w:r w:rsidRPr="003A6EAB">
        <w:t>Harrison et al. cite both thresholds and suggest the stricter one is probably sensible.</w:t>
      </w:r>
    </w:p>
    <w:p w14:paraId="0B7D6B8C" w14:textId="77777777" w:rsidR="003A6EAB" w:rsidRPr="003A6EAB" w:rsidRDefault="003A6EAB" w:rsidP="003A6EAB">
      <w:pPr>
        <w:numPr>
          <w:ilvl w:val="0"/>
          <w:numId w:val="8"/>
        </w:numPr>
      </w:pPr>
      <w:r w:rsidRPr="003A6EAB">
        <w:t>High VIFs inflate standard errors and can even flip the sign of an estimated effect.</w:t>
      </w:r>
    </w:p>
    <w:p w14:paraId="65939B1F" w14:textId="77777777" w:rsidR="003A6EAB" w:rsidRPr="003A6EAB" w:rsidRDefault="003A6EAB" w:rsidP="003A6EAB">
      <w:pPr>
        <w:rPr>
          <w:b/>
          <w:bCs/>
        </w:rPr>
      </w:pPr>
      <w:r w:rsidRPr="003A6EAB">
        <w:rPr>
          <w:b/>
          <w:bCs/>
        </w:rPr>
        <w:t>References</w:t>
      </w:r>
    </w:p>
    <w:p w14:paraId="6AB2D61E" w14:textId="77777777" w:rsidR="003A6EAB" w:rsidRPr="003A6EAB" w:rsidRDefault="003A6EAB" w:rsidP="003A6EAB">
      <w:pPr>
        <w:numPr>
          <w:ilvl w:val="0"/>
          <w:numId w:val="9"/>
        </w:numPr>
      </w:pPr>
      <w:r w:rsidRPr="003A6EAB">
        <w:t xml:space="preserve">Hartig, F. </w:t>
      </w:r>
      <w:proofErr w:type="spellStart"/>
      <w:r w:rsidRPr="003A6EAB">
        <w:rPr>
          <w:i/>
          <w:iCs/>
        </w:rPr>
        <w:t>DHARMa</w:t>
      </w:r>
      <w:proofErr w:type="spellEnd"/>
      <w:r w:rsidRPr="003A6EAB">
        <w:rPr>
          <w:i/>
          <w:iCs/>
        </w:rPr>
        <w:t>: Residual Diagnostics for Hierarchical (Multi-Level/Mixed) Regression Models.</w:t>
      </w:r>
      <w:r w:rsidRPr="003A6EAB">
        <w:t xml:space="preserve"> R package vignette. </w:t>
      </w:r>
      <w:hyperlink r:id="rId5" w:history="1">
        <w:r w:rsidRPr="003A6EAB">
          <w:rPr>
            <w:rStyle w:val="Hyperlink"/>
          </w:rPr>
          <w:t>CRAN vignette</w:t>
        </w:r>
      </w:hyperlink>
    </w:p>
    <w:p w14:paraId="69CD1F47" w14:textId="77777777" w:rsidR="003A6EAB" w:rsidRPr="003A6EAB" w:rsidRDefault="003A6EAB" w:rsidP="003A6EAB">
      <w:pPr>
        <w:numPr>
          <w:ilvl w:val="0"/>
          <w:numId w:val="9"/>
        </w:numPr>
      </w:pPr>
      <w:r w:rsidRPr="003A6EAB">
        <w:t xml:space="preserve">Harrison, X.A. et al. (2018). A brief introduction to mixed effects modelling and multi-model inference in ecology. </w:t>
      </w:r>
      <w:proofErr w:type="spellStart"/>
      <w:r w:rsidRPr="003A6EAB">
        <w:rPr>
          <w:i/>
          <w:iCs/>
        </w:rPr>
        <w:t>PeerJ</w:t>
      </w:r>
      <w:proofErr w:type="spellEnd"/>
      <w:r w:rsidRPr="003A6EAB">
        <w:t xml:space="preserve"> </w:t>
      </w:r>
      <w:proofErr w:type="gramStart"/>
      <w:r w:rsidRPr="003A6EAB">
        <w:t>6:e</w:t>
      </w:r>
      <w:proofErr w:type="gramEnd"/>
      <w:r w:rsidRPr="003A6EAB">
        <w:t xml:space="preserve">4794. </w:t>
      </w:r>
      <w:hyperlink r:id="rId6" w:history="1">
        <w:r w:rsidRPr="003A6EAB">
          <w:rPr>
            <w:rStyle w:val="Hyperlink"/>
          </w:rPr>
          <w:t>PMC5970551</w:t>
        </w:r>
      </w:hyperlink>
    </w:p>
    <w:p w14:paraId="7D35D396" w14:textId="77777777" w:rsidR="003A6EAB" w:rsidRPr="003A6EAB" w:rsidRDefault="003A6EAB" w:rsidP="003A6EAB">
      <w:pPr>
        <w:numPr>
          <w:ilvl w:val="0"/>
          <w:numId w:val="9"/>
        </w:numPr>
      </w:pPr>
      <w:r w:rsidRPr="003A6EAB">
        <w:t xml:space="preserve">Nakagawa, S., Johnson, P.C.D. &amp; </w:t>
      </w:r>
      <w:proofErr w:type="spellStart"/>
      <w:r w:rsidRPr="003A6EAB">
        <w:t>Schielzeth</w:t>
      </w:r>
      <w:proofErr w:type="spellEnd"/>
      <w:r w:rsidRPr="003A6EAB">
        <w:t xml:space="preserve">, H. (2017). The coefficient of determination R² and intra-class correlation coefficient from generalized linear mixed-effects models revisited and expanded. </w:t>
      </w:r>
      <w:r w:rsidRPr="003A6EAB">
        <w:rPr>
          <w:i/>
          <w:iCs/>
        </w:rPr>
        <w:t>J. R. Soc. Interface</w:t>
      </w:r>
      <w:r w:rsidRPr="003A6EAB">
        <w:t xml:space="preserve"> 14:20170213. </w:t>
      </w:r>
      <w:hyperlink r:id="rId7" w:history="1">
        <w:r w:rsidRPr="003A6EAB">
          <w:rPr>
            <w:rStyle w:val="Hyperlink"/>
          </w:rPr>
          <w:t>PubMed</w:t>
        </w:r>
      </w:hyperlink>
      <w:r w:rsidRPr="003A6EAB">
        <w:t xml:space="preserve"> — cited through Harrison et al.; I couldn’t open the full text.</w:t>
      </w:r>
    </w:p>
    <w:p w14:paraId="150317CF" w14:textId="77777777" w:rsidR="003A6EAB" w:rsidRPr="003A6EAB" w:rsidRDefault="003A6EAB" w:rsidP="003A6EAB">
      <w:pPr>
        <w:numPr>
          <w:ilvl w:val="0"/>
          <w:numId w:val="9"/>
        </w:numPr>
      </w:pPr>
      <w:r w:rsidRPr="003A6EAB">
        <w:lastRenderedPageBreak/>
        <w:t xml:space="preserve">Bates, D. et al. </w:t>
      </w:r>
      <w:r w:rsidRPr="003A6EAB">
        <w:rPr>
          <w:i/>
          <w:iCs/>
        </w:rPr>
        <w:t>lme4</w:t>
      </w:r>
      <w:r w:rsidRPr="003A6EAB">
        <w:t xml:space="preserve"> documentation, </w:t>
      </w:r>
      <w:proofErr w:type="spellStart"/>
      <w:r w:rsidRPr="003A6EAB">
        <w:t>isSingular</w:t>
      </w:r>
      <w:proofErr w:type="spellEnd"/>
      <w:r w:rsidRPr="003A6EAB">
        <w:t xml:space="preserve">. </w:t>
      </w:r>
      <w:hyperlink r:id="rId8" w:history="1">
        <w:r w:rsidRPr="003A6EAB">
          <w:rPr>
            <w:rStyle w:val="Hyperlink"/>
          </w:rPr>
          <w:t>rdrr.io</w:t>
        </w:r>
      </w:hyperlink>
    </w:p>
    <w:p w14:paraId="32B50C7C" w14:textId="77777777" w:rsidR="003A6EAB" w:rsidRPr="003A6EAB" w:rsidRDefault="003A6EAB" w:rsidP="003A6EAB">
      <w:pPr>
        <w:numPr>
          <w:ilvl w:val="0"/>
          <w:numId w:val="9"/>
        </w:numPr>
      </w:pPr>
      <w:r w:rsidRPr="003A6EAB">
        <w:t xml:space="preserve">Zuur, A.F., Ieno, E.N. &amp; Elphick, C.S. (2010). A protocol for data exploration to avoid common statistical problems. </w:t>
      </w:r>
      <w:r w:rsidRPr="003A6EAB">
        <w:rPr>
          <w:i/>
          <w:iCs/>
        </w:rPr>
        <w:t>Methods in Ecology and Evolution</w:t>
      </w:r>
      <w:r w:rsidRPr="003A6EAB">
        <w:t xml:space="preserve"> 1:3–14. </w:t>
      </w:r>
      <w:hyperlink r:id="rId9" w:history="1">
        <w:proofErr w:type="spellStart"/>
        <w:r w:rsidRPr="003A6EAB">
          <w:rPr>
            <w:rStyle w:val="Hyperlink"/>
          </w:rPr>
          <w:t>marineinfo</w:t>
        </w:r>
        <w:proofErr w:type="spellEnd"/>
      </w:hyperlink>
      <w:r w:rsidRPr="003A6EAB">
        <w:t xml:space="preserve"> — VIF guidance cited through Harrison et al.</w:t>
      </w:r>
    </w:p>
    <w:p w14:paraId="66ACB1EF" w14:textId="77777777" w:rsidR="003A6EAB" w:rsidRPr="003A6EAB" w:rsidRDefault="003A6EAB" w:rsidP="003A6EAB">
      <w:pPr>
        <w:numPr>
          <w:ilvl w:val="0"/>
          <w:numId w:val="9"/>
        </w:numPr>
      </w:pPr>
      <w:r w:rsidRPr="003A6EAB">
        <w:t xml:space="preserve">Quinn, G.P. &amp; Keough, M.J. (2002). </w:t>
      </w:r>
      <w:r w:rsidRPr="003A6EAB">
        <w:rPr>
          <w:i/>
          <w:iCs/>
        </w:rPr>
        <w:t>Experimental Design and Data Analysis for Biologists.</w:t>
      </w:r>
      <w:r w:rsidRPr="003A6EAB">
        <w:t xml:space="preserve"> Cambridge University Press. — cited through Harrison et al.</w:t>
      </w:r>
    </w:p>
    <w:p w14:paraId="06116B5E" w14:textId="77777777" w:rsidR="00186BC4" w:rsidRDefault="00186BC4"/>
    <w:sectPr w:rsidR="00186B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DC3"/>
    <w:multiLevelType w:val="multilevel"/>
    <w:tmpl w:val="3054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30DF6"/>
    <w:multiLevelType w:val="multilevel"/>
    <w:tmpl w:val="A1B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77CC1"/>
    <w:multiLevelType w:val="multilevel"/>
    <w:tmpl w:val="9DF6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E2B27"/>
    <w:multiLevelType w:val="multilevel"/>
    <w:tmpl w:val="6C9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37F64"/>
    <w:multiLevelType w:val="multilevel"/>
    <w:tmpl w:val="FA8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1720F"/>
    <w:multiLevelType w:val="multilevel"/>
    <w:tmpl w:val="E950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833FA"/>
    <w:multiLevelType w:val="multilevel"/>
    <w:tmpl w:val="584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40252"/>
    <w:multiLevelType w:val="multilevel"/>
    <w:tmpl w:val="897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B0E87"/>
    <w:multiLevelType w:val="multilevel"/>
    <w:tmpl w:val="E2C6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417508">
    <w:abstractNumId w:val="4"/>
  </w:num>
  <w:num w:numId="2" w16cid:durableId="286938051">
    <w:abstractNumId w:val="5"/>
  </w:num>
  <w:num w:numId="3" w16cid:durableId="1641501225">
    <w:abstractNumId w:val="6"/>
  </w:num>
  <w:num w:numId="4" w16cid:durableId="792015986">
    <w:abstractNumId w:val="7"/>
  </w:num>
  <w:num w:numId="5" w16cid:durableId="1550149699">
    <w:abstractNumId w:val="8"/>
  </w:num>
  <w:num w:numId="6" w16cid:durableId="479542692">
    <w:abstractNumId w:val="0"/>
  </w:num>
  <w:num w:numId="7" w16cid:durableId="1996882727">
    <w:abstractNumId w:val="3"/>
  </w:num>
  <w:num w:numId="8" w16cid:durableId="729890867">
    <w:abstractNumId w:val="2"/>
  </w:num>
  <w:num w:numId="9" w16cid:durableId="323775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2EB"/>
    <w:rsid w:val="00017013"/>
    <w:rsid w:val="000C1888"/>
    <w:rsid w:val="000E675C"/>
    <w:rsid w:val="00110800"/>
    <w:rsid w:val="00186BC4"/>
    <w:rsid w:val="001D2915"/>
    <w:rsid w:val="003A6EAB"/>
    <w:rsid w:val="00494C3E"/>
    <w:rsid w:val="004F62EB"/>
    <w:rsid w:val="00E40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99CC83-73B5-4654-96AC-6B1A90B3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8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F62E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F62E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F62E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F62E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6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CPageBreak">
    <w:name w:val="TOC Page Break"/>
    <w:basedOn w:val="TOCHeading"/>
    <w:link w:val="TOCPageBreakChar"/>
    <w:qFormat/>
    <w:rsid w:val="00110800"/>
    <w:pPr>
      <w:pageBreakBefore/>
      <w:spacing w:after="80" w:line="259" w:lineRule="auto"/>
    </w:pPr>
    <w:rPr>
      <w:rFonts w:asciiTheme="minorHAnsi" w:hAnsiTheme="minorHAnsi" w:cstheme="minorHAnsi"/>
      <w:color w:val="2C4960"/>
      <w:sz w:val="40"/>
      <w:szCs w:val="40"/>
    </w:rPr>
  </w:style>
  <w:style w:type="character" w:customStyle="1" w:styleId="TOCPageBreakChar">
    <w:name w:val="TOC Page Break Char"/>
    <w:basedOn w:val="DefaultParagraphFont"/>
    <w:link w:val="TOCPageBreak"/>
    <w:rsid w:val="00110800"/>
    <w:rPr>
      <w:rFonts w:eastAsiaTheme="majorEastAsia" w:cstheme="minorHAnsi"/>
      <w:color w:val="2C4960"/>
      <w:sz w:val="40"/>
      <w:szCs w:val="40"/>
    </w:rPr>
  </w:style>
  <w:style w:type="character" w:customStyle="1" w:styleId="Heading1Char">
    <w:name w:val="Heading 1 Char"/>
    <w:basedOn w:val="DefaultParagraphFont"/>
    <w:link w:val="Heading1"/>
    <w:uiPriority w:val="9"/>
    <w:rsid w:val="00110800"/>
    <w:rPr>
      <w:rFonts w:asciiTheme="majorHAnsi" w:eastAsiaTheme="majorEastAsia" w:hAnsiTheme="majorHAnsi" w:cstheme="majorBidi"/>
      <w:color w:val="2E74B5" w:themeColor="accent1" w:themeShade="BF"/>
      <w:sz w:val="40"/>
      <w:szCs w:val="40"/>
    </w:rPr>
  </w:style>
  <w:style w:type="paragraph" w:styleId="TOCHeading">
    <w:name w:val="TOC Heading"/>
    <w:basedOn w:val="Heading1"/>
    <w:next w:val="Normal"/>
    <w:uiPriority w:val="39"/>
    <w:semiHidden/>
    <w:unhideWhenUsed/>
    <w:qFormat/>
    <w:rsid w:val="00110800"/>
    <w:pPr>
      <w:spacing w:before="240" w:after="0"/>
      <w:outlineLvl w:val="9"/>
    </w:pPr>
    <w:rPr>
      <w:sz w:val="32"/>
      <w:szCs w:val="32"/>
    </w:rPr>
  </w:style>
  <w:style w:type="character" w:customStyle="1" w:styleId="Heading2Char">
    <w:name w:val="Heading 2 Char"/>
    <w:basedOn w:val="DefaultParagraphFont"/>
    <w:link w:val="Heading2"/>
    <w:uiPriority w:val="9"/>
    <w:semiHidden/>
    <w:rsid w:val="004F62E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F62E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F62E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F62E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6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2EB"/>
    <w:rPr>
      <w:rFonts w:eastAsiaTheme="majorEastAsia" w:cstheme="majorBidi"/>
      <w:color w:val="272727" w:themeColor="text1" w:themeTint="D8"/>
    </w:rPr>
  </w:style>
  <w:style w:type="paragraph" w:styleId="Title">
    <w:name w:val="Title"/>
    <w:basedOn w:val="Normal"/>
    <w:next w:val="Normal"/>
    <w:link w:val="TitleChar"/>
    <w:uiPriority w:val="10"/>
    <w:qFormat/>
    <w:rsid w:val="004F6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2EB"/>
    <w:pPr>
      <w:spacing w:before="160"/>
      <w:jc w:val="center"/>
    </w:pPr>
    <w:rPr>
      <w:i/>
      <w:iCs/>
      <w:color w:val="404040" w:themeColor="text1" w:themeTint="BF"/>
    </w:rPr>
  </w:style>
  <w:style w:type="character" w:customStyle="1" w:styleId="QuoteChar">
    <w:name w:val="Quote Char"/>
    <w:basedOn w:val="DefaultParagraphFont"/>
    <w:link w:val="Quote"/>
    <w:uiPriority w:val="29"/>
    <w:rsid w:val="004F62EB"/>
    <w:rPr>
      <w:i/>
      <w:iCs/>
      <w:color w:val="404040" w:themeColor="text1" w:themeTint="BF"/>
    </w:rPr>
  </w:style>
  <w:style w:type="paragraph" w:styleId="ListParagraph">
    <w:name w:val="List Paragraph"/>
    <w:basedOn w:val="Normal"/>
    <w:uiPriority w:val="34"/>
    <w:qFormat/>
    <w:rsid w:val="004F62EB"/>
    <w:pPr>
      <w:ind w:left="720"/>
      <w:contextualSpacing/>
    </w:pPr>
  </w:style>
  <w:style w:type="character" w:styleId="IntenseEmphasis">
    <w:name w:val="Intense Emphasis"/>
    <w:basedOn w:val="DefaultParagraphFont"/>
    <w:uiPriority w:val="21"/>
    <w:qFormat/>
    <w:rsid w:val="004F62EB"/>
    <w:rPr>
      <w:i/>
      <w:iCs/>
      <w:color w:val="2E74B5" w:themeColor="accent1" w:themeShade="BF"/>
    </w:rPr>
  </w:style>
  <w:style w:type="paragraph" w:styleId="IntenseQuote">
    <w:name w:val="Intense Quote"/>
    <w:basedOn w:val="Normal"/>
    <w:next w:val="Normal"/>
    <w:link w:val="IntenseQuoteChar"/>
    <w:uiPriority w:val="30"/>
    <w:qFormat/>
    <w:rsid w:val="004F62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62EB"/>
    <w:rPr>
      <w:i/>
      <w:iCs/>
      <w:color w:val="2E74B5" w:themeColor="accent1" w:themeShade="BF"/>
    </w:rPr>
  </w:style>
  <w:style w:type="character" w:styleId="IntenseReference">
    <w:name w:val="Intense Reference"/>
    <w:basedOn w:val="DefaultParagraphFont"/>
    <w:uiPriority w:val="32"/>
    <w:qFormat/>
    <w:rsid w:val="004F62EB"/>
    <w:rPr>
      <w:b/>
      <w:bCs/>
      <w:smallCaps/>
      <w:color w:val="2E74B5" w:themeColor="accent1" w:themeShade="BF"/>
      <w:spacing w:val="5"/>
    </w:rPr>
  </w:style>
  <w:style w:type="character" w:styleId="Hyperlink">
    <w:name w:val="Hyperlink"/>
    <w:basedOn w:val="DefaultParagraphFont"/>
    <w:uiPriority w:val="99"/>
    <w:unhideWhenUsed/>
    <w:rsid w:val="003A6EAB"/>
    <w:rPr>
      <w:color w:val="0563C1" w:themeColor="hyperlink"/>
      <w:u w:val="single"/>
    </w:rPr>
  </w:style>
  <w:style w:type="character" w:styleId="UnresolvedMention">
    <w:name w:val="Unresolved Mention"/>
    <w:basedOn w:val="DefaultParagraphFont"/>
    <w:uiPriority w:val="99"/>
    <w:semiHidden/>
    <w:unhideWhenUsed/>
    <w:rsid w:val="003A6EAB"/>
    <w:rPr>
      <w:color w:val="605E5C"/>
      <w:shd w:val="clear" w:color="auto" w:fill="E1DFDD"/>
    </w:rPr>
  </w:style>
  <w:style w:type="table" w:styleId="TableGridLight">
    <w:name w:val="Grid Table Light"/>
    <w:basedOn w:val="TableNormal"/>
    <w:uiPriority w:val="40"/>
    <w:rsid w:val="003A6E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drr.io/cran/lme4/man/isSingular.html" TargetMode="External"/><Relationship Id="rId3" Type="http://schemas.openxmlformats.org/officeDocument/2006/relationships/settings" Target="settings.xml"/><Relationship Id="rId7" Type="http://schemas.openxmlformats.org/officeDocument/2006/relationships/hyperlink" Target="https://pubmed.ncbi.nlm.nih.gov/28904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c.ncbi.nlm.nih.gov/articles/PMC5970551" TargetMode="External"/><Relationship Id="rId11" Type="http://schemas.openxmlformats.org/officeDocument/2006/relationships/theme" Target="theme/theme1.xml"/><Relationship Id="rId5" Type="http://schemas.openxmlformats.org/officeDocument/2006/relationships/hyperlink" Target="https://ftp.eenet.ee/pub/cran/web/packages/DHARMa/vignettes/DHARMa.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arineinfo.org/id/publication/2899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889</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Hurtado</dc:creator>
  <cp:keywords/>
  <dc:description/>
  <cp:lastModifiedBy>Camila Hurtado</cp:lastModifiedBy>
  <cp:revision>2</cp:revision>
  <dcterms:created xsi:type="dcterms:W3CDTF">2026-10-16T20:37:00Z</dcterms:created>
  <dcterms:modified xsi:type="dcterms:W3CDTF">2026-10-16T20:47:00Z</dcterms:modified>
</cp:coreProperties>
</file>