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40.png" ContentType="image/png"/>
  <Override PartName="/word/media/rId28.png" ContentType="image/png"/>
  <Override PartName="/word/media/rId68.png" ContentType="image/png"/>
  <Override PartName="/word/media/rId64.png" ContentType="image/png"/>
  <Override PartName="/word/media/rId52.png" ContentType="image/png"/>
  <Override PartName="/word/media/rId32.png" ContentType="image/png"/>
  <Override PartName="/word/media/rId76.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2026-05-26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1. Abstract</w:t>
      </w:r>
    </w:p>
    <w:p>
      <w:pPr>
        <w:pStyle w:val="FirstParagraph"/>
      </w:pPr>
      <w:r>
        <w:t xml:space="preserve">In 2024, the Mushkegowuk Council launched a community-based wildlife monitoring program.This project involves working with Mushkegowuk Nations and using trail cameras (movement triggered cameras) and audio recorders (Song Meter Mini 2) to collect information about the presence, movements and habitat of mammals, birds, and frogs within the Mushkegowuk Territory. Additionally increase capacity for members of Mushkegowuk Nations to engage in monitoring activities. This project provides an opportunity to begin developing capacity amongst community members to combine scientific methods and Indigenous knowledge in the collection and production of baseline information. This report summarizes the key findings from the pilot phase of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End w:id="26"/>
    <w:bookmarkStart w:id="27" w:name="introduction"/>
    <w:p>
      <w:pPr>
        <w:pStyle w:val="Heading1"/>
      </w:pPr>
      <w:r>
        <w:t xml:space="preserve">2. Introduction</w:t>
      </w:r>
    </w:p>
    <w:p>
      <w:pPr>
        <w:pStyle w:val="FirstParagraph"/>
      </w:pPr>
      <w:r>
        <w:t xml:space="preserve">ARUs and trail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trail cameras deployed by Mushkegowuk Nations and their community members with the support ofMushkegowuk Council in 2024-2025.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3. Methods</w:t>
      </w:r>
    </w:p>
    <w:bookmarkStart w:id="36" w:name="data-collection"/>
    <w:p>
      <w:pPr>
        <w:pStyle w:val="Heading2"/>
      </w:pPr>
      <w:r>
        <w:t xml:space="preserve">3.1 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000500"/>
                  <wp:effectExtent b="0" l="0" r="0" t="0"/>
                  <wp:docPr descr="" title="" id="29" name="Picture"/>
                  <a:graphic>
                    <a:graphicData uri="http://schemas.openxmlformats.org/drawingml/2006/picture">
                      <pic:pic>
                        <pic:nvPicPr>
                          <pic:cNvPr descr="map_aru_location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76788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767887"/>
                          </a:xfrm>
                          <a:prstGeom prst="rect">
                            <a:avLst/>
                          </a:prstGeom>
                          <a:noFill/>
                          <a:ln w="9525">
                            <a:noFill/>
                            <a:headEnd/>
                            <a:tailEnd/>
                          </a:ln>
                        </pic:spPr>
                      </pic:pic>
                    </a:graphicData>
                  </a:graphic>
                </wp:inline>
              </w:drawing>
            </w:r>
          </w:p>
          <w:bookmarkEnd w:id="35"/>
        </w:tc>
      </w:tr>
    </w:tbl>
    <w:bookmarkEnd w:id="36"/>
    <w:bookmarkStart w:id="57" w:name="data-processing"/>
    <w:p>
      <w:pPr>
        <w:pStyle w:val="Heading2"/>
      </w:pPr>
      <w:r>
        <w:t xml:space="preserve">3.2 Data processing</w:t>
      </w:r>
    </w:p>
    <w:p>
      <w:pPr>
        <w:pStyle w:val="FirstParagraph"/>
      </w:pPr>
      <w:hyperlink r:id="rId37">
        <w:r>
          <w:rPr>
            <w:rStyle w:val="Hyperlink"/>
          </w:rPr>
          <w:t xml:space="preserve">WildTrax</w:t>
        </w:r>
      </w:hyperlink>
      <w:r>
        <w:t xml:space="preserve"> </w:t>
      </w:r>
      <w:r>
        <w:t xml:space="preserve">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 big data challenges by providing solutions to standardize, harmonize, and share data. The platform supports data collected from autonomous recording units (ARUs) and camera traps, two of the most widely deployed remote sensing technologies in wildlife monitoring. ARUs passively record acoustic data and are particularly effective for detecting birds and other vocalizing species across large spatial extents, while camera traps provide photographic records of wildlife activity at fixed locations. WildTrax provides an end-to-end workflow for environmental sensor data, from upload and storage through to processing, species tagging, and data publication. A key feature of the platform is its standardized tagging protocol, which allows observers to assign species identifications, individual counts, and behavioural annotations to recordings and images. This standardization enables data collected across different organizations, regions, and time periods to be integrated and compared, which is a critical requirement for large-scale biodiversity monitoring programs.</w:t>
      </w:r>
    </w:p>
    <w:p>
      <w:pPr>
        <w:pStyle w:val="BodyText"/>
      </w:pPr>
      <w:r>
        <w:t xml:space="preserve">Data processed through WildTrax can be accessed and downloaded via the platform’s public data portal or through the</w:t>
      </w:r>
      <w:r>
        <w:t xml:space="preserve"> </w:t>
      </w:r>
      <w:hyperlink r:id="rId39">
        <w:r>
          <w:rPr>
            <w:rStyle w:val="Hyperlink"/>
          </w:rPr>
          <w:t xml:space="preserve">wildRtrax R package</w:t>
        </w:r>
      </w:hyperlink>
      <w:r>
        <w:t xml:space="preserve">, which provides programmatic access to WildTrax data for downstream analysis. The wildRtrax package facilitates reproducible workflows by allowing users to query, filter, and format WildTrax data directly within R.</w:t>
      </w:r>
    </w:p>
    <w:bookmarkStart w:id="51" w:name="acoustic-data"/>
    <w:p>
      <w:pPr>
        <w:pStyle w:val="Heading3"/>
      </w:pPr>
      <w:r>
        <w:t xml:space="preserve">3.2.1 Acoustic data</w:t>
      </w:r>
    </w:p>
    <w:p>
      <w:pPr>
        <w:pStyle w:val="FirstParagraph"/>
      </w:pPr>
      <w:r>
        <w:t xml:space="preserve">Recordings were uploaded to for processing and can be downloaded from the platform’s Recordings tab in the Organization.</w:t>
      </w:r>
    </w:p>
    <w:p>
      <w:pPr>
        <w:pStyle w:val="BodyText"/>
      </w:pPr>
      <w:r>
        <w:drawing>
          <wp:inline>
            <wp:extent cx="5334000" cy="2653069"/>
            <wp:effectExtent b="0" l="0" r="0" t="0"/>
            <wp:docPr descr="" title="" id="41" name="Picture"/>
            <a:graphic>
              <a:graphicData uri="http://schemas.openxmlformats.org/drawingml/2006/picture">
                <pic:pic>
                  <pic:nvPicPr>
                    <pic:cNvPr descr="assets/imagesets.png" id="42" name="Picture"/>
                    <pic:cNvPicPr>
                      <a:picLocks noChangeArrowheads="1" noChangeAspect="1"/>
                    </pic:cNvPicPr>
                  </pic:nvPicPr>
                  <pic:blipFill>
                    <a:blip r:embed="rId40"/>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2026-05-26.</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a minimum number of samples being able to detect most species. Tags are made using count-removal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 North American multi-species acoustic classifier, at the task level to avoid false negatives, or missed detections by the tagger. After the data are processed in WildTrax, the wildrtrax package is used to download the data into a standard format prepared for analysis. The wt_download_report function downloads the data directly to a R framework for easy manipulation(see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3.2.2 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3.3 Analysis</w:t>
      </w:r>
    </w:p>
    <w:p>
      <w:pPr>
        <w:pStyle w:val="FirstParagraph"/>
      </w:pPr>
      <w:r>
        <w:t xml:space="preserve">To understand which species were detected and how often, we grouped detections by year and location, then counted the unique species recorded at each site. This allowed us to summarize species richness, the number of different species detected, and visualize how detections varied across sites and over time. We also calculated Shannon’s diversity index for each site, which is a single number that captures both how many species were detected and how evenly individuals were distributed among those species. A higher score indicates a site where many different species were each detected a similar number of times, while a lower score indicates a site dominated by one or two common species with few others present.</w:t>
      </w:r>
    </w:p>
    <w:p>
      <w:pPr>
        <w:pStyle w:val="BodyText"/>
      </w:pPr>
      <w:r>
        <w:t xml:space="preserve">Finally, we developed a site prioritization score to help identify which locations should be targeted for future surveys. Each site received a score based on three factors: whether it had been surveyed enough times, how many species were detected there, and whether any species at risk had been recorded. These factors were combined into a single score to rank sites by their monitoring value.</w:t>
      </w:r>
    </w:p>
    <w:bookmarkEnd w:id="58"/>
    <w:bookmarkEnd w:id="59"/>
    <w:bookmarkStart w:id="72" w:name="results"/>
    <w:p>
      <w:pPr>
        <w:pStyle w:val="Heading1"/>
      </w:pPr>
      <w:r>
        <w:t xml:space="preserve">4. Results</w:t>
      </w:r>
    </w:p>
    <w:p>
      <w:pPr>
        <w:pStyle w:val="FirstParagraph"/>
      </w:pPr>
      <w:r>
        <w:t xml:space="preserve">A total of 87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1036796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1036796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 A site with a high Shannon diversity index had many species detected in roughly equal numbers. A site with a low score was dominated by one or two common species, with few others present.</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across northern and southern nations based on RDA1 and PC1 ordination axes. The ellipses show partial separation along RDA1, with northern sites associated with positive RDA1 scores and southern sites with negative RDA1 scores, suggesting some difference in species composition between regions. However, given the small number of sites per nation and the degree of ellipse overlap, this difference should be interpreted cautiously. White-throated Sparrow shows the strongest directional association among species vectors.</w:t>
            </w:r>
          </w:p>
          <w:bookmarkEnd w:id="71"/>
        </w:tc>
      </w:tr>
    </w:tbl>
    <w:p>
      <w:pPr>
        <w:pStyle w:val="BodyText"/>
      </w:pPr>
      <w:r>
        <w:t xml:space="preserve">Species composition showed partial separation between northern and southern nations along the RDA1 and PC1 ordination axes, with northern sites tending toward positive RDA1 scores and southern sites toward negative scores. While this suggests some difference in community composition between regions, the small number of sites per nation and the degree of ellipse overlap mean this pattern should be interpreted cautiously. White-throated Sparrow showed the strongest directional association among species. Additional sampling at sites will help clarify and confirm this trend in the future.</w:t>
      </w:r>
    </w:p>
    <w:bookmarkEnd w:id="72"/>
    <w:bookmarkStart w:id="119" w:name="discussion"/>
    <w:p>
      <w:pPr>
        <w:pStyle w:val="Heading1"/>
      </w:pPr>
      <w:r>
        <w:t xml:space="preserve">5. Discussion</w:t>
      </w:r>
    </w:p>
    <w:bookmarkStart w:id="73" w:name="recommendations"/>
    <w:p>
      <w:pPr>
        <w:pStyle w:val="Heading2"/>
      </w:pPr>
      <w:r>
        <w:t xml:space="preserve">5.1 Recommendations</w:t>
      </w:r>
    </w:p>
    <w:bookmarkEnd w:id="73"/>
    <w:bookmarkStart w:id="74" w:name="acoustic"/>
    <w:p>
      <w:pPr>
        <w:pStyle w:val="Heading2"/>
      </w:pPr>
      <w:r>
        <w:t xml:space="preserve">5.2 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5.3 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8" w:name="site-and-species-prioritization"/>
    <w:p>
      <w:pPr>
        <w:pStyle w:val="Heading2"/>
      </w:pPr>
      <w:r>
        <w:t xml:space="preserve">5.4 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9" w:name="tbl-prioritization"/>
          <w:p>
            <w:pPr>
              <w:jc w:val="center"/>
            </w:pPr>
            <w:pPr>
              <w:jc w:val="left"/>
              <w:spacing w:before="200"/>
              <w:pStyle w:val="ImageCaption"/>
            </w:pPr>
            <w:r>
              <w:t xml:space="preserve">Table 5: Prioritization</w:t>
            </w:r>
          </w:p>
          <w:p>
            <w:pPr>
              <w:jc w:val="center"/>
            </w:pPr>
            <w:r>
              <w:drawing>
                <wp:inline>
                  <wp:extent cx="5334000" cy="7556500"/>
                  <wp:effectExtent b="0" l="0" r="0" t="0"/>
                  <wp:docPr descr="" title="" id="77" name="Picture"/>
                  <a:graphic>
                    <a:graphicData uri="http://schemas.openxmlformats.org/drawingml/2006/picture">
                      <pic:pic>
                        <pic:nvPicPr>
                          <pic:cNvPr descr="mushkegowuk_files/figure-docx/tbl-prioritization-1.png" id="78" name="Picture"/>
                          <pic:cNvPicPr>
                            <a:picLocks noChangeArrowheads="1" noChangeAspect="1"/>
                          </pic:cNvPicPr>
                        </pic:nvPicPr>
                        <pic:blipFill>
                          <a:blip r:embed="rId76"/>
                          <a:stretch>
                            <a:fillRect/>
                          </a:stretch>
                        </pic:blipFill>
                        <pic:spPr bwMode="auto">
                          <a:xfrm>
                            <a:off x="0" y="0"/>
                            <a:ext cx="5334000" cy="7556500"/>
                          </a:xfrm>
                          <a:prstGeom prst="rect">
                            <a:avLst/>
                          </a:prstGeom>
                          <a:noFill/>
                          <a:ln w="9525">
                            <a:noFill/>
                            <a:headEnd/>
                            <a:tailEnd/>
                          </a:ln>
                        </pic:spPr>
                      </pic:pic>
                    </a:graphicData>
                  </a:graphic>
                </wp:inline>
              </w:drawing>
            </w:r>
          </w:p>
          <w:bookmarkEnd w:id="79"/>
        </w:tc>
      </w:tr>
    </w:tbl>
    <w:p>
      <w:pPr>
        <w:pStyle w:val="BodyText"/>
      </w:pPr>
      <w:r>
        <w:t xml:space="preserve">As this monitoring is led by Indigenous communities, it is guided by local knowledge, values, and priorities to protect the land and wildlife. By combining new technologies and sampling techniques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7" w:name="refs"/>
    <w:bookmarkStart w:id="8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80"/>
    <w:bookmarkStart w:id="81"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81"/>
    <w:bookmarkStart w:id="83"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82">
        <w:r>
          <w:rPr>
            <w:rStyle w:val="Hyperlink"/>
          </w:rPr>
          <w:t xml:space="preserve">https://doi.org/10.1111/j.1442-9993.2001.01070.pp.x</w:t>
        </w:r>
      </w:hyperlink>
      <w:r>
        <w:t xml:space="preserve">.</w:t>
      </w:r>
    </w:p>
    <w:bookmarkEnd w:id="83"/>
    <w:bookmarkStart w:id="84"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4"/>
    <w:bookmarkStart w:id="86"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5">
        <w:r>
          <w:rPr>
            <w:rStyle w:val="Hyperlink"/>
          </w:rPr>
          <w:t xml:space="preserve">https://doi.org/10.1139/cjz-2020-0103</w:t>
        </w:r>
      </w:hyperlink>
      <w:r>
        <w:t xml:space="preserve">.</w:t>
      </w:r>
    </w:p>
    <w:bookmarkEnd w:id="86"/>
    <w:bookmarkStart w:id="87"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7"/>
    <w:bookmarkStart w:id="88"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8"/>
    <w:bookmarkStart w:id="89"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9"/>
    <w:bookmarkStart w:id="90"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90"/>
    <w:bookmarkStart w:id="9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91"/>
    <w:bookmarkStart w:id="93"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92">
        <w:r>
          <w:rPr>
            <w:rStyle w:val="Hyperlink"/>
          </w:rPr>
          <w:t xml:space="preserve">http://www.jstor.org/stable/1400484</w:t>
        </w:r>
      </w:hyperlink>
      <w:r>
        <w:t xml:space="preserve">.</w:t>
      </w:r>
    </w:p>
    <w:bookmarkEnd w:id="93"/>
    <w:bookmarkStart w:id="95"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4">
        <w:r>
          <w:rPr>
            <w:rStyle w:val="Hyperlink"/>
          </w:rPr>
          <w:t xml:space="preserve">https://doi.org/10.1890/02-3090</w:t>
        </w:r>
      </w:hyperlink>
      <w:r>
        <w:t xml:space="preserve">.</w:t>
      </w:r>
    </w:p>
    <w:bookmarkEnd w:id="95"/>
    <w:bookmarkStart w:id="96"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6"/>
    <w:bookmarkStart w:id="97"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7"/>
    <w:bookmarkStart w:id="98"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8"/>
    <w:bookmarkStart w:id="100"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9">
        <w:r>
          <w:rPr>
            <w:rStyle w:val="Hyperlink"/>
          </w:rPr>
          <w:t xml:space="preserve">https://doi.org/10.1890/10-0340.1</w:t>
        </w:r>
      </w:hyperlink>
      <w:r>
        <w:t xml:space="preserve">.</w:t>
      </w:r>
    </w:p>
    <w:bookmarkEnd w:id="100"/>
    <w:bookmarkStart w:id="102"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101">
        <w:r>
          <w:rPr>
            <w:rStyle w:val="Hyperlink"/>
          </w:rPr>
          <w:t xml:space="preserve">https://vegandevs.github.io/vegan/</w:t>
        </w:r>
      </w:hyperlink>
      <w:r>
        <w:t xml:space="preserve">.</w:t>
      </w:r>
    </w:p>
    <w:bookmarkEnd w:id="102"/>
    <w:bookmarkStart w:id="103"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3"/>
    <w:bookmarkStart w:id="104"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4"/>
    <w:bookmarkStart w:id="105"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5"/>
    <w:bookmarkStart w:id="107"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6">
        <w:r>
          <w:rPr>
            <w:rStyle w:val="Hyperlink"/>
          </w:rPr>
          <w:t xml:space="preserve">https://doi.org/10.1002/env.1149</w:t>
        </w:r>
      </w:hyperlink>
      <w:r>
        <w:t xml:space="preserve">.</w:t>
      </w:r>
    </w:p>
    <w:bookmarkEnd w:id="107"/>
    <w:bookmarkStart w:id="108"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8"/>
    <w:bookmarkStart w:id="110"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9">
        <w:r>
          <w:rPr>
            <w:rStyle w:val="Hyperlink"/>
          </w:rPr>
          <w:t xml:space="preserve">https://doi.org/10.1650/CONDOR-18-32.1</w:t>
        </w:r>
      </w:hyperlink>
      <w:r>
        <w:t xml:space="preserve">.</w:t>
      </w:r>
    </w:p>
    <w:bookmarkEnd w:id="110"/>
    <w:bookmarkStart w:id="112"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11">
        <w:r>
          <w:rPr>
            <w:rStyle w:val="Hyperlink"/>
          </w:rPr>
          <w:t xml:space="preserve">https://doi.org/10.1093/biosci/biy147</w:t>
        </w:r>
      </w:hyperlink>
      <w:r>
        <w:t xml:space="preserve">.</w:t>
      </w:r>
    </w:p>
    <w:bookmarkEnd w:id="112"/>
    <w:bookmarkStart w:id="114"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3">
        <w:r>
          <w:rPr>
            <w:rStyle w:val="Hyperlink"/>
          </w:rPr>
          <w:t xml:space="preserve">https://api.semanticscholar.org/CorpusID:89959184</w:t>
        </w:r>
      </w:hyperlink>
      <w:r>
        <w:t xml:space="preserve">.</w:t>
      </w:r>
    </w:p>
    <w:bookmarkEnd w:id="114"/>
    <w:bookmarkStart w:id="116"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5">
        <w:r>
          <w:rPr>
            <w:rStyle w:val="Hyperlink"/>
          </w:rPr>
          <w:t xml:space="preserve">https://doi.org/10.1139/cjz-2023-0044</w:t>
        </w:r>
      </w:hyperlink>
      <w:r>
        <w:t xml:space="preserve">.</w:t>
      </w:r>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2026-05-26T18:04:23Z</dcterms:created>
  <dcterms:modified xsi:type="dcterms:W3CDTF">2026-05-26T18:04:23Z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2026-05-26</vt:lpwstr>
  </property>
  <property fmtid="{D5CDD505-2E9C-101B-9397-08002B2CF9AE}" pid="9" name="editor">
    <vt:lpwstr>visual</vt:lpwstr>
  </property>
  <property fmtid="{D5CDD505-2E9C-101B-9397-08002B2CF9AE}" pid="10" name="github">
    <vt:lpwstr>https://github.com/bp-sensr/mushkegowuk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